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66FD" w14:textId="76FD068F" w:rsidR="0037254E" w:rsidRPr="00F608F4" w:rsidRDefault="00EA0B74" w:rsidP="0037254E">
      <w:pPr>
        <w:pStyle w:val="Titel"/>
        <w:rPr>
          <w:sz w:val="44"/>
          <w:szCs w:val="44"/>
        </w:rPr>
      </w:pPr>
      <w:bookmarkStart w:id="0" w:name="_GoBack"/>
      <w:bookmarkEnd w:id="0"/>
      <w:r w:rsidRPr="00F608F4">
        <w:rPr>
          <w:sz w:val="44"/>
          <w:szCs w:val="44"/>
        </w:rPr>
        <w:t xml:space="preserve">KORT </w:t>
      </w:r>
      <w:r w:rsidR="0037254E" w:rsidRPr="00F608F4">
        <w:rPr>
          <w:sz w:val="44"/>
          <w:szCs w:val="44"/>
        </w:rPr>
        <w:t>VEJLEDNING</w:t>
      </w:r>
      <w:r w:rsidR="002812D8">
        <w:rPr>
          <w:sz w:val="44"/>
          <w:szCs w:val="44"/>
        </w:rPr>
        <w:t>: Opgørelse af revisionsydelser</w:t>
      </w:r>
    </w:p>
    <w:p w14:paraId="303D99E4" w14:textId="138BE24B" w:rsidR="009F6EB6" w:rsidRDefault="00D06668" w:rsidP="0037254E">
      <w:pPr>
        <w:pStyle w:val="Overskrift1"/>
      </w:pPr>
      <w:r w:rsidRPr="00D06668">
        <w:t xml:space="preserve">17.01 </w:t>
      </w:r>
      <w:r w:rsidR="00FC38BC" w:rsidRPr="00D06668">
        <w:t>Revisions</w:t>
      </w:r>
      <w:r w:rsidR="00FC38BC">
        <w:t>ydelser</w:t>
      </w:r>
      <w:r w:rsidR="006F237E">
        <w:t xml:space="preserve"> </w:t>
      </w:r>
    </w:p>
    <w:p w14:paraId="1349F8F9" w14:textId="77777777" w:rsidR="00F2209B" w:rsidRPr="00F2209B" w:rsidRDefault="00F2209B" w:rsidP="00F2209B"/>
    <w:p w14:paraId="435A6490" w14:textId="64CE33BF" w:rsidR="00D06668" w:rsidRDefault="009F6EB6" w:rsidP="00F2209B">
      <w:pPr>
        <w:pStyle w:val="Overskrift2"/>
      </w:pPr>
      <w:r>
        <w:t>S</w:t>
      </w:r>
      <w:r w:rsidR="00390592">
        <w:t xml:space="preserve">ådan </w:t>
      </w:r>
      <w:r w:rsidR="00E079BF">
        <w:t>opgør du dit behov</w:t>
      </w:r>
    </w:p>
    <w:p w14:paraId="2C3EB962" w14:textId="2823D345" w:rsidR="00390592" w:rsidRDefault="0012579E" w:rsidP="00D06668">
      <w:r>
        <w:t xml:space="preserve">I SKI modtager vi ofte henvendelser om, hvordan </w:t>
      </w:r>
      <w:r w:rsidR="008E203E">
        <w:t>man opgør sit behov for revisionsydelser</w:t>
      </w:r>
      <w:r w:rsidR="005D78FA">
        <w:t xml:space="preserve"> forud</w:t>
      </w:r>
      <w:r w:rsidR="008E203E">
        <w:t>. Derfor har vi samlet nyttig information om emnet her</w:t>
      </w:r>
      <w:r w:rsidR="00390592">
        <w:t>, som forhåbentlig vil hjælpe dig godt på vej. Hvis du har yderligere spørgsmål, er du altid velkommen til at kontakte os.</w:t>
      </w:r>
    </w:p>
    <w:p w14:paraId="7DD0C140" w14:textId="0A59A5EA" w:rsidR="00D06668" w:rsidRDefault="00D06668" w:rsidP="00D06668">
      <w:r>
        <w:t xml:space="preserve">Som offentlig ordregiver er det vigtigt at opgøre sit behov, og fastslå om det er et udbudspligtigt behov. </w:t>
      </w:r>
    </w:p>
    <w:p w14:paraId="30DFD1F5" w14:textId="3E57C8F3" w:rsidR="00D06668" w:rsidRDefault="00D06668" w:rsidP="00D06668">
      <w:r>
        <w:t>Dette er også vigtigt</w:t>
      </w:r>
      <w:r w:rsidR="005B2509">
        <w:t xml:space="preserve">, når du skal </w:t>
      </w:r>
      <w:r>
        <w:t>køb</w:t>
      </w:r>
      <w:r w:rsidR="005B2509">
        <w:t>e ind</w:t>
      </w:r>
      <w:r>
        <w:t xml:space="preserve"> på SKI</w:t>
      </w:r>
      <w:r w:rsidR="00FC38BC">
        <w:t>-</w:t>
      </w:r>
      <w:r>
        <w:t>aftale</w:t>
      </w:r>
      <w:r w:rsidR="005B2509">
        <w:t xml:space="preserve"> 17.01 Revisions</w:t>
      </w:r>
      <w:r w:rsidR="00FC38BC">
        <w:t>ydelser</w:t>
      </w:r>
      <w:r w:rsidR="005B2509">
        <w:t>.</w:t>
      </w:r>
      <w:r>
        <w:t xml:space="preserve"> </w:t>
      </w:r>
      <w:r w:rsidR="003F7F2F">
        <w:t>Din behovsafklaring er</w:t>
      </w:r>
      <w:r w:rsidR="005B2509">
        <w:t xml:space="preserve"> nemlig</w:t>
      </w:r>
      <w:r>
        <w:t xml:space="preserve"> med til at afgøre, hvordan kontrakten tildeles. </w:t>
      </w:r>
    </w:p>
    <w:p w14:paraId="15867BAC" w14:textId="01BB0244" w:rsidR="00D06668" w:rsidRDefault="005B2509" w:rsidP="00D06668">
      <w:r>
        <w:t xml:space="preserve">I </w:t>
      </w:r>
      <w:r w:rsidR="00D06668">
        <w:t>Bilag D</w:t>
      </w:r>
      <w:r w:rsidR="00A74BC6">
        <w:t>:</w:t>
      </w:r>
      <w:r w:rsidR="00D06668">
        <w:t xml:space="preserve"> Retningslinjer for tildeling af </w:t>
      </w:r>
      <w:r w:rsidR="00AA7ACF">
        <w:t>l</w:t>
      </w:r>
      <w:r w:rsidR="00D06668">
        <w:t>everingskontrakt, punkt 2</w:t>
      </w:r>
      <w:r>
        <w:t xml:space="preserve"> er det beskrevet, om du enten skal lave en direkte tildeling eller et miniudbud</w:t>
      </w:r>
      <w:r w:rsidR="00D06668">
        <w:t>:</w:t>
      </w:r>
    </w:p>
    <w:p w14:paraId="2583D4A4" w14:textId="2DD19AAE" w:rsidR="005B2509" w:rsidRDefault="005B2509" w:rsidP="00325FF3">
      <w:pPr>
        <w:pStyle w:val="Listeafsnit"/>
        <w:numPr>
          <w:ilvl w:val="0"/>
          <w:numId w:val="3"/>
        </w:numPr>
      </w:pPr>
      <w:r>
        <w:t>Du</w:t>
      </w:r>
      <w:r w:rsidR="00D06668">
        <w:t xml:space="preserve"> er forpligtet til at gennemføre </w:t>
      </w:r>
      <w:r>
        <w:t>et m</w:t>
      </w:r>
      <w:r w:rsidR="00D06668">
        <w:t xml:space="preserve">iniudbud, </w:t>
      </w:r>
      <w:r>
        <w:t>hvis du</w:t>
      </w:r>
      <w:r w:rsidR="00D06668">
        <w:t xml:space="preserve"> estimerer, at køb</w:t>
      </w:r>
      <w:r>
        <w:t>et</w:t>
      </w:r>
      <w:r w:rsidR="00D06668">
        <w:t xml:space="preserve"> af revisionsydelser udgør DKK 500.000 eller derover. </w:t>
      </w:r>
    </w:p>
    <w:p w14:paraId="3C8381B0" w14:textId="6647F815" w:rsidR="00D06668" w:rsidRDefault="00D06668" w:rsidP="00325FF3">
      <w:pPr>
        <w:pStyle w:val="Listeafsnit"/>
        <w:numPr>
          <w:ilvl w:val="0"/>
          <w:numId w:val="3"/>
        </w:numPr>
      </w:pPr>
      <w:r>
        <w:t xml:space="preserve">Hvis </w:t>
      </w:r>
      <w:r w:rsidR="005B2509">
        <w:t>du estimerer dit køb til at være en sum under DKK 500.000, så skal du</w:t>
      </w:r>
      <w:r>
        <w:t xml:space="preserve"> foretage en </w:t>
      </w:r>
      <w:r w:rsidR="005B2509">
        <w:t>d</w:t>
      </w:r>
      <w:r>
        <w:t xml:space="preserve">irekte tildeling. </w:t>
      </w:r>
    </w:p>
    <w:p w14:paraId="220A713A" w14:textId="2EEEB9FA" w:rsidR="005B2509" w:rsidRDefault="005B2509" w:rsidP="00D06668">
      <w:r>
        <w:t>Det er altså dit</w:t>
      </w:r>
      <w:r w:rsidR="00D06668">
        <w:t xml:space="preserve"> saglige estimat, der ligger til grund for, om en revisionstildeling skal være direkte eller i miniudbud.</w:t>
      </w:r>
    </w:p>
    <w:p w14:paraId="05A68B07" w14:textId="25604777" w:rsidR="005B2509" w:rsidRDefault="005B2509" w:rsidP="00D06668">
      <w:r>
        <w:t xml:space="preserve">I punkt 3 </w:t>
      </w:r>
      <w:r w:rsidR="00BA61CA">
        <w:t xml:space="preserve">i leveringskontrakten </w:t>
      </w:r>
      <w:r>
        <w:t>kan læse om fremgangsmåden for en direkte tildeling, og i punkt 4 kan du læse om processen for et miniudbud.</w:t>
      </w:r>
    </w:p>
    <w:p w14:paraId="1050B2A0" w14:textId="77777777" w:rsidR="00D06668" w:rsidRDefault="00D06668" w:rsidP="00D06668"/>
    <w:p w14:paraId="1A045F75" w14:textId="787F903B" w:rsidR="00D06668" w:rsidRDefault="00D06668" w:rsidP="00F2209B">
      <w:pPr>
        <w:pStyle w:val="Overskrift2"/>
      </w:pPr>
      <w:r>
        <w:t>Opgørelse af værdi</w:t>
      </w:r>
    </w:p>
    <w:p w14:paraId="34CEBFCF" w14:textId="77777777" w:rsidR="00D06668" w:rsidRPr="00D06668" w:rsidRDefault="00D06668" w:rsidP="00D06668">
      <w:r w:rsidRPr="00D06668">
        <w:t>Hvad ligger fast i fremgangsmåden af dette estimat?</w:t>
      </w:r>
    </w:p>
    <w:p w14:paraId="7AA12A6F" w14:textId="4371C888" w:rsidR="00D06668" w:rsidRPr="00D06668" w:rsidRDefault="00D06668" w:rsidP="00D06668">
      <w:pPr>
        <w:numPr>
          <w:ilvl w:val="0"/>
          <w:numId w:val="1"/>
        </w:numPr>
      </w:pPr>
      <w:r w:rsidRPr="00D06668">
        <w:t xml:space="preserve">Varigheden af en lovpligtig revisionsaftale skal for en kommunal enhed altid være længere end </w:t>
      </w:r>
      <w:r w:rsidR="005B2509">
        <w:t>to</w:t>
      </w:r>
      <w:r w:rsidRPr="00D06668">
        <w:t xml:space="preserve"> år. Det betyder</w:t>
      </w:r>
      <w:r w:rsidR="005B2509">
        <w:t>,</w:t>
      </w:r>
      <w:r w:rsidRPr="00D06668">
        <w:t xml:space="preserve"> at </w:t>
      </w:r>
      <w:r w:rsidR="005B2509">
        <w:t>aftalen</w:t>
      </w:r>
      <w:r w:rsidRPr="00D06668">
        <w:t xml:space="preserve"> minimum skal være </w:t>
      </w:r>
      <w:r w:rsidR="005B2509">
        <w:t>tre</w:t>
      </w:r>
      <w:r w:rsidRPr="00D06668">
        <w:t xml:space="preserve"> år lang</w:t>
      </w:r>
      <w:r w:rsidR="005B2509">
        <w:t xml:space="preserve"> -</w:t>
      </w:r>
      <w:r w:rsidRPr="00D06668">
        <w:t xml:space="preserve"> medmindre der ændres i længden af regnskabsåret i kontraktens løbetid.</w:t>
      </w:r>
    </w:p>
    <w:p w14:paraId="13E5D40C" w14:textId="7F26EC3C" w:rsidR="00D06668" w:rsidRPr="00D06668" w:rsidRDefault="00D06668" w:rsidP="00D06668">
      <w:pPr>
        <w:numPr>
          <w:ilvl w:val="0"/>
          <w:numId w:val="1"/>
        </w:numPr>
      </w:pPr>
      <w:r w:rsidRPr="00D06668">
        <w:t>Løbende tjenesteydelser uden en fast pris skal altid opgøres som den månedlige værdi ganget med 48 måneder, jf. Udbudsloven § 38, stk. 2.</w:t>
      </w:r>
      <w:r w:rsidR="00E74340">
        <w:t xml:space="preserve"> Det er herfra tanken om, at man altid skal opgøre en kontraktværdi over fire år – det er dog ikke tilfældet i denne aftale, da det er en fastprisaftale.</w:t>
      </w:r>
    </w:p>
    <w:p w14:paraId="73047D3D" w14:textId="77777777" w:rsidR="00D06668" w:rsidRPr="00D06668" w:rsidRDefault="00D06668" w:rsidP="00D06668">
      <w:pPr>
        <w:numPr>
          <w:ilvl w:val="0"/>
          <w:numId w:val="1"/>
        </w:numPr>
      </w:pPr>
      <w:r w:rsidRPr="00D06668">
        <w:t>Opgørelsen af værdien skal være på et sagligt grundlag</w:t>
      </w:r>
      <w:r w:rsidR="005B2509">
        <w:t>.</w:t>
      </w:r>
    </w:p>
    <w:p w14:paraId="0E4585CC" w14:textId="1341AA0B" w:rsidR="00D06668" w:rsidRPr="00D06668" w:rsidRDefault="00D06668" w:rsidP="00D06668">
      <w:pPr>
        <w:numPr>
          <w:ilvl w:val="0"/>
          <w:numId w:val="1"/>
        </w:numPr>
      </w:pPr>
      <w:r w:rsidRPr="00D06668">
        <w:t xml:space="preserve">Det er ikke tilladt at fastlægge opgørelsen, </w:t>
      </w:r>
      <w:r w:rsidR="005B2509" w:rsidRPr="00D06668">
        <w:t>så</w:t>
      </w:r>
      <w:r w:rsidRPr="00D06668">
        <w:t xml:space="preserve"> formålet i sig selv er at undgå en udbudspligt, eller på anden vis konstruere et givent resultat, jf. Udbudsloven § 30, stk. 2.</w:t>
      </w:r>
    </w:p>
    <w:p w14:paraId="1C2AA7AC" w14:textId="7BD3F630" w:rsidR="00D06668" w:rsidRPr="00D06668" w:rsidRDefault="00D06668" w:rsidP="00325FF3">
      <w:r w:rsidRPr="00D06668">
        <w:t>I Konkurrence- og Forb</w:t>
      </w:r>
      <w:r w:rsidR="005B2509">
        <w:t>r</w:t>
      </w:r>
      <w:r w:rsidRPr="00D06668">
        <w:t>ugerstyrelsens vejledning ”Tærskelværdier og kontraktberegning for aftaler om varer og tjenesteydelser” punkt 3.3, 3. afsnit står der eksplicit:</w:t>
      </w:r>
    </w:p>
    <w:p w14:paraId="2B6F2CAE" w14:textId="77777777" w:rsidR="00D06668" w:rsidRPr="00325FF3" w:rsidRDefault="005B2509" w:rsidP="00D06668">
      <w:pPr>
        <w:rPr>
          <w:i/>
          <w:iCs/>
        </w:rPr>
      </w:pPr>
      <w:r>
        <w:rPr>
          <w:i/>
          <w:iCs/>
        </w:rPr>
        <w:t>”</w:t>
      </w:r>
      <w:r w:rsidR="00D06668" w:rsidRPr="00325FF3">
        <w:rPr>
          <w:i/>
          <w:iCs/>
        </w:rPr>
        <w:t>Ordregiver skal dog altid være opmærksom på, at et indkøb ikke kunstigt må opdeles med henblik på at</w:t>
      </w:r>
      <w:r w:rsidR="003A32D6" w:rsidRPr="00325FF3">
        <w:rPr>
          <w:i/>
          <w:iCs/>
        </w:rPr>
        <w:t xml:space="preserve"> </w:t>
      </w:r>
      <w:r w:rsidR="00D06668" w:rsidRPr="00325FF3">
        <w:rPr>
          <w:i/>
          <w:iCs/>
        </w:rPr>
        <w:t>undgå udbudspligten. Det betyder, at en kommune som fx har besluttet at indgå en kontrakt om</w:t>
      </w:r>
      <w:r w:rsidR="003A32D6" w:rsidRPr="00325FF3">
        <w:rPr>
          <w:i/>
          <w:iCs/>
        </w:rPr>
        <w:t xml:space="preserve"> </w:t>
      </w:r>
      <w:r w:rsidR="00D06668" w:rsidRPr="00325FF3">
        <w:rPr>
          <w:i/>
          <w:iCs/>
        </w:rPr>
        <w:t>byplanlægning, ikke må indgå en 1-årig kontrakt og forny kontrakten ved udløb, velvidende om at projektet har en varighed på 2 år, når formålet med opdelingen er at undgå udbudspligten.</w:t>
      </w:r>
      <w:r>
        <w:rPr>
          <w:i/>
          <w:iCs/>
        </w:rPr>
        <w:t>”</w:t>
      </w:r>
      <w:r w:rsidR="00D06668" w:rsidRPr="00325FF3">
        <w:rPr>
          <w:i/>
          <w:iCs/>
        </w:rPr>
        <w:t xml:space="preserve"> </w:t>
      </w:r>
    </w:p>
    <w:p w14:paraId="3C294A9A" w14:textId="047DE5DD" w:rsidR="00A71C9A" w:rsidRDefault="001461B9" w:rsidP="00D06668">
      <w:hyperlink r:id="rId10" w:history="1">
        <w:r w:rsidR="00A71C9A" w:rsidRPr="00A71C9A">
          <w:rPr>
            <w:rStyle w:val="Hyperlink"/>
          </w:rPr>
          <w:t>Du finder hele vejledningen her.</w:t>
        </w:r>
      </w:hyperlink>
    </w:p>
    <w:p w14:paraId="56AF694A" w14:textId="3DAB58E2" w:rsidR="00D06668" w:rsidRDefault="00D06668" w:rsidP="003F7005">
      <w:pPr>
        <w:pStyle w:val="Overskrift2"/>
      </w:pPr>
      <w:r>
        <w:lastRenderedPageBreak/>
        <w:t>Kontekst og erfaringer</w:t>
      </w:r>
    </w:p>
    <w:p w14:paraId="22671C8B" w14:textId="31F9390F" w:rsidR="00D06668" w:rsidRPr="00D06668" w:rsidRDefault="00D06668" w:rsidP="00D06668">
      <w:r w:rsidRPr="00D06668">
        <w:t>Vi ved</w:t>
      </w:r>
      <w:r w:rsidR="005B2509">
        <w:t>,</w:t>
      </w:r>
      <w:r w:rsidRPr="00D06668">
        <w:t xml:space="preserve"> at</w:t>
      </w:r>
      <w:r w:rsidR="005B2509">
        <w:t xml:space="preserve"> nogle</w:t>
      </w:r>
      <w:r w:rsidRPr="00D06668">
        <w:t xml:space="preserve"> kunder rådgives i at opgøre deres behov på baggrund af en </w:t>
      </w:r>
      <w:r w:rsidR="005B2509">
        <w:t>tre</w:t>
      </w:r>
      <w:r w:rsidRPr="00D06668">
        <w:t xml:space="preserve"> år lang kontrakt for derved at kunne holde sig under grænsen for at indgå i miniudbud.</w:t>
      </w:r>
    </w:p>
    <w:p w14:paraId="68BEC01C" w14:textId="73610C43" w:rsidR="00D06668" w:rsidRPr="00D06668" w:rsidRDefault="00D06668" w:rsidP="00D06668">
      <w:r w:rsidRPr="00D06668">
        <w:t xml:space="preserve">Der er ret beset ikke noget odiøst i at lave en revisionsaftale med en varighed på </w:t>
      </w:r>
      <w:r w:rsidR="005B2509">
        <w:t>tre</w:t>
      </w:r>
      <w:r w:rsidRPr="00D06668">
        <w:t xml:space="preserve"> år. Men at beregne værdien på </w:t>
      </w:r>
      <w:r w:rsidR="005B2509">
        <w:t>tre</w:t>
      </w:r>
      <w:r w:rsidRPr="00D06668">
        <w:t xml:space="preserve"> år for at undgå andre mekanismer er til gengæld forbudt. </w:t>
      </w:r>
    </w:p>
    <w:p w14:paraId="78DCD42D" w14:textId="6D2057DB" w:rsidR="00D06668" w:rsidRPr="00D06668" w:rsidRDefault="00D06668" w:rsidP="00D06668">
      <w:r w:rsidRPr="00D06668">
        <w:t>Hertil kommer konteksten</w:t>
      </w:r>
      <w:r w:rsidR="005B2509">
        <w:t>:</w:t>
      </w:r>
      <w:r w:rsidRPr="00D06668">
        <w:t xml:space="preserve"> Hvor lang er den efterfølgende kontrakt? Hvor lang er de foregående kontrakter?</w:t>
      </w:r>
    </w:p>
    <w:p w14:paraId="4AC4B2AA" w14:textId="3AC87C63" w:rsidR="00D06668" w:rsidRPr="00D06668" w:rsidRDefault="00D06668" w:rsidP="00D06668">
      <w:pPr>
        <w:numPr>
          <w:ilvl w:val="0"/>
          <w:numId w:val="2"/>
        </w:numPr>
      </w:pPr>
      <w:r w:rsidRPr="00D06668">
        <w:t>Hvis du beregner din værdi ud</w:t>
      </w:r>
      <w:r w:rsidR="005B2509">
        <w:t xml:space="preserve"> </w:t>
      </w:r>
      <w:r w:rsidRPr="00D06668">
        <w:t xml:space="preserve">fra </w:t>
      </w:r>
      <w:r w:rsidR="005B2509">
        <w:t>tre</w:t>
      </w:r>
      <w:r w:rsidRPr="00D06668">
        <w:t xml:space="preserve"> år, men </w:t>
      </w:r>
      <w:r w:rsidR="005B2509">
        <w:t xml:space="preserve">alligevel </w:t>
      </w:r>
      <w:r w:rsidRPr="00D06668">
        <w:t>vælger en anden varighed, er det usagligt.</w:t>
      </w:r>
    </w:p>
    <w:p w14:paraId="77070862" w14:textId="77777777" w:rsidR="00D06668" w:rsidRPr="00D06668" w:rsidRDefault="00D06668" w:rsidP="00D06668">
      <w:pPr>
        <w:numPr>
          <w:ilvl w:val="0"/>
          <w:numId w:val="2"/>
        </w:numPr>
      </w:pPr>
      <w:r w:rsidRPr="00D06668">
        <w:t>Hvis du tidligere altid har haft meget lange kontrakter, er det usagligt.</w:t>
      </w:r>
    </w:p>
    <w:p w14:paraId="63D995A1" w14:textId="3858B656" w:rsidR="00D06668" w:rsidRPr="00D06668" w:rsidRDefault="00D06668" w:rsidP="00D06668">
      <w:pPr>
        <w:numPr>
          <w:ilvl w:val="0"/>
          <w:numId w:val="2"/>
        </w:numPr>
      </w:pPr>
      <w:r w:rsidRPr="00D06668">
        <w:t xml:space="preserve">Hvis du beregner din værdi ud fra </w:t>
      </w:r>
      <w:r w:rsidR="005B2509">
        <w:t>tre</w:t>
      </w:r>
      <w:r w:rsidRPr="00D06668">
        <w:t xml:space="preserve"> år, med baggrund i en vejledning fra den leverandør, der vil opnå noget ved det, så er det usagligt. </w:t>
      </w:r>
    </w:p>
    <w:p w14:paraId="2D4E2F69" w14:textId="77777777" w:rsidR="00D06668" w:rsidRPr="00D06668" w:rsidRDefault="00D06668" w:rsidP="00D06668">
      <w:pPr>
        <w:numPr>
          <w:ilvl w:val="0"/>
          <w:numId w:val="2"/>
        </w:numPr>
      </w:pPr>
      <w:r w:rsidRPr="00D06668">
        <w:t>Ydelserne relateret til opgaven skal medregnes i det samlede beløb.</w:t>
      </w:r>
    </w:p>
    <w:p w14:paraId="2B7D9488" w14:textId="77777777" w:rsidR="00D06668" w:rsidRPr="00563D85" w:rsidRDefault="00D06668" w:rsidP="00D06668"/>
    <w:sectPr w:rsidR="00D06668" w:rsidRPr="00563D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99A1" w14:textId="77777777" w:rsidR="00593602" w:rsidRDefault="00593602" w:rsidP="00593602">
      <w:pPr>
        <w:spacing w:after="0" w:line="240" w:lineRule="auto"/>
      </w:pPr>
      <w:r>
        <w:separator/>
      </w:r>
    </w:p>
  </w:endnote>
  <w:endnote w:type="continuationSeparator" w:id="0">
    <w:p w14:paraId="41F607C3" w14:textId="77777777" w:rsidR="00593602" w:rsidRDefault="00593602" w:rsidP="0059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9A703" w14:textId="77777777" w:rsidR="00593602" w:rsidRDefault="00593602" w:rsidP="00593602">
      <w:pPr>
        <w:spacing w:after="0" w:line="240" w:lineRule="auto"/>
      </w:pPr>
      <w:r>
        <w:separator/>
      </w:r>
    </w:p>
  </w:footnote>
  <w:footnote w:type="continuationSeparator" w:id="0">
    <w:p w14:paraId="527848F6" w14:textId="77777777" w:rsidR="00593602" w:rsidRDefault="00593602" w:rsidP="0059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745FB"/>
    <w:multiLevelType w:val="hybridMultilevel"/>
    <w:tmpl w:val="55B693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A5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65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6E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83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E1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6C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1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460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2708CF"/>
    <w:multiLevelType w:val="hybridMultilevel"/>
    <w:tmpl w:val="52D8A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71F9E"/>
    <w:multiLevelType w:val="hybridMultilevel"/>
    <w:tmpl w:val="629EBD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0C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4E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20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1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6E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26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E4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A9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68"/>
    <w:rsid w:val="00057BA0"/>
    <w:rsid w:val="000761DC"/>
    <w:rsid w:val="000F2D86"/>
    <w:rsid w:val="0012579E"/>
    <w:rsid w:val="001359D4"/>
    <w:rsid w:val="001461B9"/>
    <w:rsid w:val="00200E0A"/>
    <w:rsid w:val="00252DAA"/>
    <w:rsid w:val="002812D8"/>
    <w:rsid w:val="00325FF3"/>
    <w:rsid w:val="0037254E"/>
    <w:rsid w:val="00390592"/>
    <w:rsid w:val="003A32D6"/>
    <w:rsid w:val="003F7005"/>
    <w:rsid w:val="003F7F2F"/>
    <w:rsid w:val="004665B7"/>
    <w:rsid w:val="0052060C"/>
    <w:rsid w:val="00563D85"/>
    <w:rsid w:val="00593602"/>
    <w:rsid w:val="005B2509"/>
    <w:rsid w:val="005D78FA"/>
    <w:rsid w:val="0061760F"/>
    <w:rsid w:val="006F11C8"/>
    <w:rsid w:val="006F237E"/>
    <w:rsid w:val="00826445"/>
    <w:rsid w:val="008916C3"/>
    <w:rsid w:val="008E203E"/>
    <w:rsid w:val="00916EBF"/>
    <w:rsid w:val="009F6EB6"/>
    <w:rsid w:val="00A631D5"/>
    <w:rsid w:val="00A71C9A"/>
    <w:rsid w:val="00A74BC6"/>
    <w:rsid w:val="00AA7ACF"/>
    <w:rsid w:val="00B265E2"/>
    <w:rsid w:val="00BA61CA"/>
    <w:rsid w:val="00C655CA"/>
    <w:rsid w:val="00CF174B"/>
    <w:rsid w:val="00D06668"/>
    <w:rsid w:val="00D623B8"/>
    <w:rsid w:val="00DB7194"/>
    <w:rsid w:val="00E079BF"/>
    <w:rsid w:val="00E74340"/>
    <w:rsid w:val="00EA0B74"/>
    <w:rsid w:val="00F2209B"/>
    <w:rsid w:val="00F608F4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D8B8"/>
  <w15:chartTrackingRefBased/>
  <w15:docId w15:val="{3C65E4D0-2E7E-44F4-9A37-E53CDF9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D85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3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66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3D85"/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0761DC"/>
    <w:rPr>
      <w:color w:val="006082"/>
      <w:u w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6668"/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6668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5B2509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A71C9A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3725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F2209B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93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3602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593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360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0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2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kfst.dk/media/2860/20131209-vejledning-i-kontraktbregning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SKI 2016 farver">
      <a:dk1>
        <a:srgbClr val="2A2A2A"/>
      </a:dk1>
      <a:lt1>
        <a:srgbClr val="FFFFFF"/>
      </a:lt1>
      <a:dk2>
        <a:srgbClr val="063A40"/>
      </a:dk2>
      <a:lt2>
        <a:srgbClr val="E6ECE9"/>
      </a:lt2>
      <a:accent1>
        <a:srgbClr val="004A64"/>
      </a:accent1>
      <a:accent2>
        <a:srgbClr val="637575"/>
      </a:accent2>
      <a:accent3>
        <a:srgbClr val="68B1D2"/>
      </a:accent3>
      <a:accent4>
        <a:srgbClr val="6AC3AD"/>
      </a:accent4>
      <a:accent5>
        <a:srgbClr val="DF4777"/>
      </a:accent5>
      <a:accent6>
        <a:srgbClr val="EDBF15"/>
      </a:accent6>
      <a:hlink>
        <a:srgbClr val="0563C1"/>
      </a:hlink>
      <a:folHlink>
        <a:srgbClr val="954F72"/>
      </a:folHlink>
    </a:clrScheme>
    <a:fontScheme name="SKI Font v3.0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B463AFBED247965B2777E7073DCB" ma:contentTypeVersion="11" ma:contentTypeDescription="Opret et nyt dokument." ma:contentTypeScope="" ma:versionID="850de70f6ac994409a8a765defa1d40e">
  <xsd:schema xmlns:xsd="http://www.w3.org/2001/XMLSchema" xmlns:xs="http://www.w3.org/2001/XMLSchema" xmlns:p="http://schemas.microsoft.com/office/2006/metadata/properties" xmlns:ns3="55bc5c82-f4d0-4dc5-8acd-1440c1394446" xmlns:ns4="cb1af3ec-6cf1-4042-b2d8-9afc2cd27702" targetNamespace="http://schemas.microsoft.com/office/2006/metadata/properties" ma:root="true" ma:fieldsID="fd708d8b60cf057501695e7c98e40a67" ns3:_="" ns4:_="">
    <xsd:import namespace="55bc5c82-f4d0-4dc5-8acd-1440c1394446"/>
    <xsd:import namespace="cb1af3ec-6cf1-4042-b2d8-9afc2cd277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c5c82-f4d0-4dc5-8acd-1440c13944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f3ec-6cf1-4042-b2d8-9afc2cd27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739B2-4155-47DB-8AF0-67F51D81E31F}">
  <ds:schemaRefs>
    <ds:schemaRef ds:uri="http://www.w3.org/XML/1998/namespace"/>
    <ds:schemaRef ds:uri="cb1af3ec-6cf1-4042-b2d8-9afc2cd27702"/>
    <ds:schemaRef ds:uri="http://purl.org/dc/elements/1.1/"/>
    <ds:schemaRef ds:uri="http://purl.org/dc/terms/"/>
    <ds:schemaRef ds:uri="http://schemas.microsoft.com/office/2006/documentManagement/types"/>
    <ds:schemaRef ds:uri="55bc5c82-f4d0-4dc5-8acd-1440c139444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999D89-D5ED-4D6E-9926-953AA3594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C5E20-1BA7-4213-9635-BA110992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c5c82-f4d0-4dc5-8acd-1440c1394446"/>
    <ds:schemaRef ds:uri="cb1af3ec-6cf1-4042-b2d8-9afc2cd27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Links>
    <vt:vector size="6" baseType="variant"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https://www.kfst.dk/media/2860/20131209-vejledning-i-kontraktbregning.pdf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Petersen</dc:creator>
  <cp:keywords/>
  <dc:description/>
  <cp:lastModifiedBy>Gitte Houby Nielsen</cp:lastModifiedBy>
  <cp:revision>2</cp:revision>
  <dcterms:created xsi:type="dcterms:W3CDTF">2020-09-23T10:40:00Z</dcterms:created>
  <dcterms:modified xsi:type="dcterms:W3CDTF">2020-09-23T10:40:00Z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0x010100149CB463AFBED247965B2777E7073DCB</vt:lpwstr>
  </property>
</Properties>
</file>