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Look w:val="04A0" w:firstRow="1" w:lastRow="0" w:firstColumn="1" w:lastColumn="0" w:noHBand="0" w:noVBand="1"/>
      </w:tblPr>
      <w:tblGrid>
        <w:gridCol w:w="9628"/>
      </w:tblGrid>
      <w:tr w:rsidR="00FF075E" w14:paraId="0A2F345D" w14:textId="77777777" w:rsidTr="709C0ADA">
        <w:tc>
          <w:tcPr>
            <w:tcW w:w="9628" w:type="dxa"/>
          </w:tcPr>
          <w:p w14:paraId="330AC5DD" w14:textId="77777777" w:rsidR="00FF075E" w:rsidRDefault="00FF075E" w:rsidP="00246533">
            <w:pPr>
              <w:jc w:val="both"/>
              <w:rPr>
                <w:b/>
              </w:rPr>
            </w:pPr>
            <w:r w:rsidRPr="00C70010">
              <w:rPr>
                <w:b/>
                <w:u w:val="single"/>
              </w:rPr>
              <w:t>Vejledning til udfyldelse</w:t>
            </w:r>
            <w:r>
              <w:rPr>
                <w:b/>
                <w:u w:val="single"/>
              </w:rPr>
              <w:t xml:space="preserve"> (slettes inden underskrift/endelighed):</w:t>
            </w:r>
            <w:r>
              <w:rPr>
                <w:b/>
              </w:rPr>
              <w:t xml:space="preserve"> </w:t>
            </w:r>
          </w:p>
          <w:p w14:paraId="3F55878D" w14:textId="77777777" w:rsidR="00FF075E" w:rsidRDefault="00FF075E" w:rsidP="00246533">
            <w:pPr>
              <w:jc w:val="both"/>
              <w:rPr>
                <w:b/>
              </w:rPr>
            </w:pPr>
          </w:p>
          <w:p w14:paraId="4F3E0503" w14:textId="77777777" w:rsidR="00FF075E" w:rsidRDefault="00FF075E" w:rsidP="00246533">
            <w:pPr>
              <w:jc w:val="both"/>
            </w:pPr>
            <w:r>
              <w:t xml:space="preserve">Denne skabelon er udarbejdet til brug for kundernes vurdering af, om Atea A/S skal udelukkes fra deltagelse i udbudsprocedurer som følge af Atea-sagen. Det er frivilligt for kunderne at anvende skabelonen. Kunderne kan i stedet udarbejde egen skabelon.  </w:t>
            </w:r>
          </w:p>
          <w:p w14:paraId="1953274C" w14:textId="77777777" w:rsidR="00FF075E" w:rsidRDefault="00FF075E" w:rsidP="00246533">
            <w:pPr>
              <w:jc w:val="both"/>
            </w:pPr>
          </w:p>
          <w:p w14:paraId="261754F8" w14:textId="77777777" w:rsidR="00FF075E" w:rsidRDefault="00FF075E" w:rsidP="00246533">
            <w:pPr>
              <w:jc w:val="both"/>
            </w:pPr>
            <w:r>
              <w:t xml:space="preserve">Atea er i henhold til endelig dom (endelighedsdato 11. juli 2018) og vedtaget bødeforlæg (12. juli 2018) skyldig i aktiv bestikkelse og underslæb. </w:t>
            </w:r>
            <w:r w:rsidRPr="009C288C">
              <w:t xml:space="preserve">Atea er dermed omfattet af den obligatoriske udelukkelsesgrund </w:t>
            </w:r>
            <w:r>
              <w:t>i</w:t>
            </w:r>
            <w:r w:rsidRPr="009C288C">
              <w:t xml:space="preserve"> udbudslovens § 135, stk. 1, nr. 2</w:t>
            </w:r>
            <w:r>
              <w:t xml:space="preserve">. </w:t>
            </w:r>
          </w:p>
          <w:p w14:paraId="68237712" w14:textId="77777777" w:rsidR="00FF075E" w:rsidRDefault="00FF075E" w:rsidP="00246533">
            <w:pPr>
              <w:jc w:val="both"/>
            </w:pPr>
          </w:p>
          <w:p w14:paraId="339BEA98" w14:textId="0E065096" w:rsidR="00FF075E" w:rsidRDefault="00FF075E" w:rsidP="00246533">
            <w:pPr>
              <w:jc w:val="both"/>
            </w:pPr>
            <w:r w:rsidRPr="009C288C">
              <w:t>Som følge af ovenstående er Atea, jf. udbudslovens § 138</w:t>
            </w:r>
            <w:r>
              <w:t xml:space="preserve">, </w:t>
            </w:r>
            <w:r w:rsidRPr="009C288C">
              <w:t>udelukket fra deltagelse i udb</w:t>
            </w:r>
            <w:r>
              <w:t xml:space="preserve">udsprocedurer til og med den 11. juli 2022 medmindre, </w:t>
            </w:r>
            <w:r w:rsidRPr="009C288C">
              <w:t xml:space="preserve">Atea </w:t>
            </w:r>
            <w:r>
              <w:t>kan fremlægge</w:t>
            </w:r>
            <w:r w:rsidRPr="00B75849">
              <w:t xml:space="preserve"> tilstrækkelig dokumentation for, at </w:t>
            </w:r>
            <w:r>
              <w:t>Atea</w:t>
            </w:r>
            <w:r w:rsidRPr="00B75849">
              <w:t xml:space="preserve"> er pålidelig.</w:t>
            </w:r>
            <w:r>
              <w:t xml:space="preserve"> Om Atea er</w:t>
            </w:r>
            <w:r w:rsidRPr="00B75849">
              <w:t xml:space="preserve"> pålidelig</w:t>
            </w:r>
            <w:r>
              <w:t xml:space="preserve"> beror på, om Atea over for ordregiver har dokumenteret, at Atea lever op til udbudslovens § 138, stk. 3, nr. 1-3 (se tekst i skabelon).</w:t>
            </w:r>
          </w:p>
          <w:p w14:paraId="7F83A920" w14:textId="77777777" w:rsidR="00FF075E" w:rsidRDefault="00FF075E" w:rsidP="00246533">
            <w:pPr>
              <w:jc w:val="both"/>
            </w:pPr>
          </w:p>
          <w:p w14:paraId="78FC1DA4" w14:textId="77777777" w:rsidR="00FF075E" w:rsidRDefault="00FF075E" w:rsidP="00246533">
            <w:pPr>
              <w:jc w:val="both"/>
            </w:pPr>
            <w:r w:rsidRPr="00F544E0">
              <w:t xml:space="preserve">En ordregiver kan ikke udelukke </w:t>
            </w:r>
            <w:r>
              <w:t>Atea</w:t>
            </w:r>
            <w:r w:rsidRPr="00F544E0">
              <w:t xml:space="preserve">, </w:t>
            </w:r>
            <w:r>
              <w:t>såfremt Atea</w:t>
            </w:r>
            <w:r w:rsidRPr="00F544E0">
              <w:t xml:space="preserve"> freml</w:t>
            </w:r>
            <w:r>
              <w:t>ægger</w:t>
            </w:r>
            <w:r w:rsidRPr="00F544E0">
              <w:t xml:space="preserve"> tilstrækkelig dokumentation for, at </w:t>
            </w:r>
            <w:r>
              <w:t>Atea</w:t>
            </w:r>
            <w:r w:rsidRPr="00F544E0">
              <w:t xml:space="preserve"> er pålidelig.</w:t>
            </w:r>
            <w:r>
              <w:t xml:space="preserve"> Ordregivere er i alle tilfælde, hvor der efter udbudsloven kan ske udelukkelse, forpligtede til at give Atea lejlighed til at fremlægge dokumentation for sin pålidelighed, og kan således ikke udelukke Atea uden at have givet Atea mulighed for at dokumentere sin pålidelighed.    </w:t>
            </w:r>
          </w:p>
          <w:p w14:paraId="7B0A27DE" w14:textId="77777777" w:rsidR="00FF075E" w:rsidRDefault="00FF075E" w:rsidP="00246533">
            <w:pPr>
              <w:jc w:val="both"/>
            </w:pPr>
          </w:p>
          <w:p w14:paraId="4FA86343" w14:textId="6EF45408" w:rsidR="00FF075E" w:rsidRDefault="00FF075E" w:rsidP="00246533">
            <w:pPr>
              <w:jc w:val="both"/>
            </w:pPr>
            <w:r>
              <w:t xml:space="preserve">Det er den enkelte ordregiver, der skal vurdere, om Atea har fremlagt tilstrækkelig dokumentation for pålidelighed. Brug af denne skabelon fritager således ikke en ordregiver fra at selv gennemføre denne vurdering, ligesom en ordregiver ikke kan holde </w:t>
            </w:r>
            <w:r w:rsidR="0090563C">
              <w:t>SKI</w:t>
            </w:r>
            <w:r>
              <w:t xml:space="preserve"> ansvarlig for vurderingen, uagtet ordregiver har valgt at benytte denne skabelon til sin vurdering.  </w:t>
            </w:r>
          </w:p>
          <w:p w14:paraId="09F4E5AC" w14:textId="77777777" w:rsidR="00FF075E" w:rsidRDefault="00FF075E" w:rsidP="00246533">
            <w:pPr>
              <w:jc w:val="both"/>
            </w:pPr>
          </w:p>
          <w:p w14:paraId="131BB348" w14:textId="5C3D727D" w:rsidR="00FF075E" w:rsidRDefault="00FF075E" w:rsidP="00246533">
            <w:pPr>
              <w:pStyle w:val="Kommentartekst"/>
            </w:pPr>
            <w:r>
              <w:t>Vedr. tekst i ad 1-</w:t>
            </w:r>
            <w:r w:rsidR="009B07DE">
              <w:t>2</w:t>
            </w:r>
            <w:r>
              <w:t xml:space="preserve"> nedenfor bemærkes det generelt, at teksten er identisk med Kammeradvokatens oprindelige vurdering af </w:t>
            </w:r>
            <w:proofErr w:type="spellStart"/>
            <w:r>
              <w:t>Ateas</w:t>
            </w:r>
            <w:proofErr w:type="spellEnd"/>
            <w:r>
              <w:t xml:space="preserve"> pålidelighed, samt at </w:t>
            </w:r>
            <w:r w:rsidR="009B07DE">
              <w:t>tekst</w:t>
            </w:r>
            <w:r>
              <w:t xml:space="preserve"> </w:t>
            </w:r>
            <w:r w:rsidR="00965A0E">
              <w:t>i ad</w:t>
            </w:r>
            <w:r>
              <w:t xml:space="preserve">. 3 er nært identisk med Kammeradvokatens vurdering </w:t>
            </w:r>
            <w:r w:rsidR="00974EF6">
              <w:t xml:space="preserve">af </w:t>
            </w:r>
            <w:r w:rsidR="00965A0E">
              <w:t>4</w:t>
            </w:r>
            <w:r w:rsidR="00974EF6">
              <w:t>. juni 202</w:t>
            </w:r>
            <w:r w:rsidR="00965A0E">
              <w:t>1</w:t>
            </w:r>
            <w:r w:rsidR="00974EF6">
              <w:t xml:space="preserve"> </w:t>
            </w:r>
            <w:r>
              <w:t xml:space="preserve">i forbindelse med </w:t>
            </w:r>
            <w:r w:rsidR="00AB678E">
              <w:t>Økonomi</w:t>
            </w:r>
            <w:r w:rsidR="00EA2E90">
              <w:t>styrelsens og SKI’s re</w:t>
            </w:r>
            <w:r>
              <w:t>vurdering</w:t>
            </w:r>
            <w:r w:rsidR="00EA2E90">
              <w:t xml:space="preserve"> af</w:t>
            </w:r>
            <w:r>
              <w:t xml:space="preserve"> </w:t>
            </w:r>
            <w:r w:rsidR="00CF39A8">
              <w:t>30</w:t>
            </w:r>
            <w:r w:rsidR="00974EF6">
              <w:t>. ju</w:t>
            </w:r>
            <w:r w:rsidR="00965A0E">
              <w:t>ni</w:t>
            </w:r>
            <w:r w:rsidR="00974EF6">
              <w:t xml:space="preserve"> </w:t>
            </w:r>
            <w:r>
              <w:t>20</w:t>
            </w:r>
            <w:r w:rsidR="00974EF6">
              <w:t>2</w:t>
            </w:r>
            <w:r w:rsidR="00965A0E">
              <w:t>1</w:t>
            </w:r>
            <w:r>
              <w:t xml:space="preserve">. Ordregiver skal selvstændigt vurdere, om ordregiver finder, at </w:t>
            </w:r>
            <w:proofErr w:type="spellStart"/>
            <w:r>
              <w:t>Ateas</w:t>
            </w:r>
            <w:proofErr w:type="spellEnd"/>
            <w:r>
              <w:t xml:space="preserve"> dokumentation er tilstrækkelig, og anføre hvilke elementer der er lagt til grund for vurderingen. Teksten tjener således primært til illustration. </w:t>
            </w:r>
          </w:p>
          <w:p w14:paraId="28B982B0" w14:textId="77777777" w:rsidR="00FF075E" w:rsidRDefault="00FF075E" w:rsidP="00246533">
            <w:pPr>
              <w:jc w:val="both"/>
            </w:pPr>
            <w:r>
              <w:t xml:space="preserve"> </w:t>
            </w:r>
          </w:p>
          <w:p w14:paraId="6FD74FE2" w14:textId="1FFFBE85" w:rsidR="00FF075E" w:rsidRDefault="00FF075E" w:rsidP="00246533">
            <w:r>
              <w:t xml:space="preserve">Som nævnt i skabelonen, jf. også bemærkningerne til udbudslovens § 138, kan ordregiver anvende SKI og </w:t>
            </w:r>
            <w:r w:rsidR="00974EF6">
              <w:t>Økonomi</w:t>
            </w:r>
            <w:r>
              <w:t xml:space="preserve">styrelsens vurdering, som indikator for </w:t>
            </w:r>
            <w:proofErr w:type="spellStart"/>
            <w:r>
              <w:t>Ateas</w:t>
            </w:r>
            <w:proofErr w:type="spellEnd"/>
            <w:r>
              <w:t xml:space="preserve"> pålidelighed. </w:t>
            </w:r>
          </w:p>
          <w:p w14:paraId="322088EA" w14:textId="77777777" w:rsidR="00FF075E" w:rsidRDefault="00FF075E" w:rsidP="00246533"/>
          <w:p w14:paraId="2661F0D5" w14:textId="6AAC8820" w:rsidR="00E24239" w:rsidRPr="00E24239" w:rsidRDefault="00974EF6" w:rsidP="0090563C">
            <w:pPr>
              <w:jc w:val="both"/>
            </w:pPr>
            <w:r>
              <w:t>Økonomi</w:t>
            </w:r>
            <w:r w:rsidR="00EA2E90">
              <w:t xml:space="preserve">styrelsen og SKI har senest revurderet </w:t>
            </w:r>
            <w:proofErr w:type="spellStart"/>
            <w:r w:rsidR="00EA2E90">
              <w:t>Ateas</w:t>
            </w:r>
            <w:proofErr w:type="spellEnd"/>
            <w:r w:rsidR="00EA2E90">
              <w:t xml:space="preserve"> </w:t>
            </w:r>
            <w:proofErr w:type="spellStart"/>
            <w:r w:rsidR="00EA2E90" w:rsidRPr="00EA2E90">
              <w:t>selfcleaninginitiativer</w:t>
            </w:r>
            <w:proofErr w:type="spellEnd"/>
            <w:r w:rsidR="00EA2E90" w:rsidRPr="00EA2E90">
              <w:t xml:space="preserve"> </w:t>
            </w:r>
            <w:r w:rsidR="00FF075E" w:rsidRPr="00EA2E90">
              <w:t xml:space="preserve">den </w:t>
            </w:r>
            <w:r w:rsidR="00CF39A8">
              <w:t>30</w:t>
            </w:r>
            <w:r>
              <w:t>. ju</w:t>
            </w:r>
            <w:r w:rsidR="00965A0E">
              <w:t>n</w:t>
            </w:r>
            <w:r>
              <w:t>i 202</w:t>
            </w:r>
            <w:r w:rsidR="00965A0E">
              <w:t>1</w:t>
            </w:r>
            <w:r w:rsidR="00FF075E" w:rsidRPr="00EA2E90">
              <w:t xml:space="preserve">. </w:t>
            </w:r>
            <w:proofErr w:type="spellStart"/>
            <w:r w:rsidR="00EA2E90" w:rsidRPr="00EA2E90">
              <w:t>Ateas</w:t>
            </w:r>
            <w:proofErr w:type="spellEnd"/>
            <w:r w:rsidR="00EA2E90">
              <w:t xml:space="preserve"> d</w:t>
            </w:r>
            <w:r w:rsidR="00FF075E">
              <w:t xml:space="preserve">okumentation og </w:t>
            </w:r>
            <w:r>
              <w:t>Økonomi</w:t>
            </w:r>
            <w:r w:rsidR="00EA2E90">
              <w:t xml:space="preserve">styrelsens og SKI’s </w:t>
            </w:r>
            <w:r w:rsidR="00FF075E">
              <w:t xml:space="preserve">vurderinger </w:t>
            </w:r>
            <w:r w:rsidR="00EA2E90">
              <w:t xml:space="preserve">mv. </w:t>
            </w:r>
            <w:r w:rsidR="00FF075E">
              <w:t>kan findes på:</w:t>
            </w:r>
            <w:r w:rsidR="007443E8">
              <w:t xml:space="preserve"> </w:t>
            </w:r>
            <w:r w:rsidR="004041A3" w:rsidRPr="004041A3">
              <w:t>https://www.ski.dk/emne/atea-selfcleaning/</w:t>
            </w:r>
            <w:r w:rsidR="00A45266" w:rsidRPr="00A45266">
              <w:t xml:space="preserve">.  </w:t>
            </w:r>
          </w:p>
          <w:p w14:paraId="6D13C53B" w14:textId="77777777" w:rsidR="00FF075E" w:rsidRDefault="00FF075E" w:rsidP="00246533">
            <w:pPr>
              <w:jc w:val="both"/>
            </w:pPr>
          </w:p>
          <w:p w14:paraId="2A82554E" w14:textId="18FB9477" w:rsidR="00FF075E" w:rsidRDefault="00FF075E" w:rsidP="00246533">
            <w:pPr>
              <w:jc w:val="both"/>
            </w:pPr>
            <w:r>
              <w:t xml:space="preserve">Ordregiver skal sikre sig, at der i forbindelse med vurderingen tages udgangspunkt i det aktuelle materiale, der er tilgængeligt på </w:t>
            </w:r>
            <w:r w:rsidR="00F53C5E">
              <w:t>SKI’s</w:t>
            </w:r>
            <w:r>
              <w:t xml:space="preserve"> hjemmeside.</w:t>
            </w:r>
          </w:p>
          <w:p w14:paraId="650F6853" w14:textId="77777777" w:rsidR="00FF075E" w:rsidRDefault="00FF075E" w:rsidP="00246533">
            <w:pPr>
              <w:jc w:val="both"/>
            </w:pPr>
          </w:p>
          <w:p w14:paraId="1B2233F0" w14:textId="5D6B9CB9" w:rsidR="00FF075E" w:rsidRPr="002F06BC" w:rsidRDefault="00FF075E" w:rsidP="00246533">
            <w:pPr>
              <w:jc w:val="both"/>
            </w:pPr>
            <w:r>
              <w:t>Hvor der i dokumentet er angivet [...], er det forudsat, at den enkelte ordregivende myndighed udfylder med relevant information og herefter sletter []</w:t>
            </w:r>
            <w:r w:rsidR="002770A4">
              <w:t>.</w:t>
            </w:r>
            <w:r>
              <w:t xml:space="preserve"> </w:t>
            </w:r>
            <w:r w:rsidR="002770A4">
              <w:t>T</w:t>
            </w:r>
            <w:r>
              <w:t xml:space="preserve">ekst i kursiv er forslag. </w:t>
            </w:r>
          </w:p>
        </w:tc>
      </w:tr>
    </w:tbl>
    <w:p w14:paraId="4FF893C6" w14:textId="77777777" w:rsidR="00FF075E" w:rsidRDefault="00FF075E" w:rsidP="00FF075E">
      <w:pPr>
        <w:jc w:val="both"/>
      </w:pPr>
    </w:p>
    <w:p w14:paraId="0E49F16B" w14:textId="77777777" w:rsidR="00FF075E" w:rsidRDefault="00FF075E" w:rsidP="00FF075E">
      <w:pPr>
        <w:jc w:val="both"/>
      </w:pPr>
    </w:p>
    <w:p w14:paraId="5947F051" w14:textId="20E3EAE1" w:rsidR="002634A0" w:rsidRPr="00032500" w:rsidRDefault="002634A0" w:rsidP="000255B1">
      <w:pPr>
        <w:pStyle w:val="Overskrift1"/>
        <w:jc w:val="both"/>
        <w:rPr>
          <w:rStyle w:val="Overskrift1Tegn"/>
          <w:rFonts w:ascii="Garamond" w:hAnsi="Garamond"/>
        </w:rPr>
      </w:pPr>
    </w:p>
    <w:p w14:paraId="56B589C5" w14:textId="77777777" w:rsidR="00FF075E" w:rsidRPr="00032500" w:rsidRDefault="00FF075E" w:rsidP="00FF075E">
      <w:pPr>
        <w:jc w:val="both"/>
        <w:rPr>
          <w:rFonts w:ascii="Garamond" w:hAnsi="Garamond"/>
          <w:sz w:val="24"/>
          <w:szCs w:val="24"/>
        </w:rPr>
      </w:pPr>
      <w:r w:rsidRPr="00032500">
        <w:rPr>
          <w:rFonts w:ascii="Garamond" w:hAnsi="Garamond"/>
          <w:sz w:val="24"/>
          <w:szCs w:val="24"/>
        </w:rPr>
        <w:t xml:space="preserve">Ved Retten i Glostrups dom af 27. juni 2018 blev Atea </w:t>
      </w:r>
      <w:r>
        <w:rPr>
          <w:rFonts w:ascii="Garamond" w:hAnsi="Garamond"/>
          <w:sz w:val="24"/>
          <w:szCs w:val="24"/>
        </w:rPr>
        <w:t xml:space="preserve">A/S (CVR. nr. </w:t>
      </w:r>
      <w:r w:rsidRPr="00D67646">
        <w:rPr>
          <w:rFonts w:ascii="Garamond" w:hAnsi="Garamond"/>
          <w:sz w:val="24"/>
          <w:szCs w:val="24"/>
        </w:rPr>
        <w:t>25511484</w:t>
      </w:r>
      <w:r>
        <w:rPr>
          <w:rFonts w:ascii="Garamond" w:hAnsi="Garamond"/>
          <w:sz w:val="24"/>
          <w:szCs w:val="24"/>
        </w:rPr>
        <w:t xml:space="preserve">) (”Atea”) </w:t>
      </w:r>
      <w:r w:rsidRPr="00032500">
        <w:rPr>
          <w:rFonts w:ascii="Garamond" w:hAnsi="Garamond"/>
          <w:sz w:val="24"/>
          <w:szCs w:val="24"/>
        </w:rPr>
        <w:t>kendt skyldig i overtrædelse af straffelovens § 122 om aktiv bestikkelse samt straffelovens § 278, stk. 1, nr. 3, jf. § 286, stk. 2, om underslæb af særlig grov beskaffenhed. Som følge af overtrædelserne er Atea blevet idømt en bøde på 10 millioner kroner. Da hverken Atea eller anklagemyndigheden har anket dommen inden ankefristens udløb den 11. juli 2018, er dommen endelig.</w:t>
      </w:r>
    </w:p>
    <w:p w14:paraId="0D733006" w14:textId="77777777" w:rsidR="00FF075E" w:rsidRDefault="00FF075E" w:rsidP="00FF075E">
      <w:pPr>
        <w:jc w:val="both"/>
        <w:rPr>
          <w:rFonts w:ascii="Garamond" w:hAnsi="Garamond"/>
          <w:sz w:val="24"/>
          <w:szCs w:val="24"/>
        </w:rPr>
      </w:pPr>
      <w:r w:rsidRPr="00032500">
        <w:rPr>
          <w:rFonts w:ascii="Garamond" w:hAnsi="Garamond"/>
          <w:sz w:val="24"/>
          <w:szCs w:val="24"/>
        </w:rPr>
        <w:lastRenderedPageBreak/>
        <w:t xml:space="preserve">Den 12. juli 2018 </w:t>
      </w:r>
      <w:r>
        <w:rPr>
          <w:rFonts w:ascii="Garamond" w:hAnsi="Garamond"/>
          <w:sz w:val="24"/>
          <w:szCs w:val="24"/>
        </w:rPr>
        <w:t>vedtog Atea et bødeforlæg på 3 millioner kroner fra Statsadvokaten for Særlig Økonomisk og International Kriminalitet</w:t>
      </w:r>
      <w:r w:rsidRPr="00032500">
        <w:rPr>
          <w:rFonts w:ascii="Garamond" w:hAnsi="Garamond"/>
          <w:sz w:val="24"/>
          <w:szCs w:val="24"/>
        </w:rPr>
        <w:t xml:space="preserve"> </w:t>
      </w:r>
      <w:r w:rsidRPr="006A7286">
        <w:rPr>
          <w:rFonts w:ascii="Garamond" w:hAnsi="Garamond"/>
          <w:i/>
          <w:sz w:val="24"/>
          <w:szCs w:val="24"/>
        </w:rPr>
        <w:t xml:space="preserve">(”SØIK”) </w:t>
      </w:r>
      <w:r>
        <w:rPr>
          <w:rFonts w:ascii="Garamond" w:hAnsi="Garamond"/>
          <w:sz w:val="24"/>
          <w:szCs w:val="24"/>
        </w:rPr>
        <w:t xml:space="preserve">og </w:t>
      </w:r>
      <w:r w:rsidRPr="00032500">
        <w:rPr>
          <w:rFonts w:ascii="Garamond" w:hAnsi="Garamond"/>
          <w:sz w:val="24"/>
          <w:szCs w:val="24"/>
        </w:rPr>
        <w:t xml:space="preserve">erklærede sig </w:t>
      </w:r>
      <w:r>
        <w:rPr>
          <w:rFonts w:ascii="Garamond" w:hAnsi="Garamond"/>
          <w:sz w:val="24"/>
          <w:szCs w:val="24"/>
        </w:rPr>
        <w:t xml:space="preserve">dermed </w:t>
      </w:r>
      <w:r w:rsidRPr="00032500">
        <w:rPr>
          <w:rFonts w:ascii="Garamond" w:hAnsi="Garamond"/>
          <w:sz w:val="24"/>
          <w:szCs w:val="24"/>
        </w:rPr>
        <w:t xml:space="preserve">skyldig i overtrædelse af straffelovens § 122 om aktiv bestikkelse. </w:t>
      </w:r>
    </w:p>
    <w:p w14:paraId="17060769" w14:textId="77777777" w:rsidR="00FF075E" w:rsidRDefault="00FF075E" w:rsidP="00FF075E">
      <w:pPr>
        <w:jc w:val="both"/>
        <w:rPr>
          <w:rFonts w:ascii="Garamond" w:hAnsi="Garamond"/>
          <w:sz w:val="24"/>
          <w:szCs w:val="24"/>
        </w:rPr>
      </w:pPr>
      <w:r>
        <w:rPr>
          <w:rFonts w:ascii="Garamond" w:hAnsi="Garamond"/>
          <w:sz w:val="24"/>
          <w:szCs w:val="24"/>
        </w:rPr>
        <w:t>Atea er dermed omfattet af den obligatoriske udelukkelsesgrund i</w:t>
      </w:r>
      <w:r w:rsidDel="00235F85">
        <w:rPr>
          <w:rFonts w:ascii="Garamond" w:hAnsi="Garamond"/>
          <w:sz w:val="24"/>
          <w:szCs w:val="24"/>
        </w:rPr>
        <w:t xml:space="preserve"> udbudslovens § 135, stk. 1, nr. 2</w:t>
      </w:r>
      <w:r>
        <w:rPr>
          <w:rFonts w:ascii="Garamond" w:hAnsi="Garamond"/>
          <w:sz w:val="24"/>
          <w:szCs w:val="24"/>
        </w:rPr>
        <w:t xml:space="preserve">. </w:t>
      </w:r>
      <w:r w:rsidRPr="00032500">
        <w:rPr>
          <w:rFonts w:ascii="Garamond" w:hAnsi="Garamond"/>
          <w:sz w:val="24"/>
          <w:szCs w:val="24"/>
        </w:rPr>
        <w:t>So</w:t>
      </w:r>
      <w:r>
        <w:rPr>
          <w:rFonts w:ascii="Garamond" w:hAnsi="Garamond"/>
          <w:sz w:val="24"/>
          <w:szCs w:val="24"/>
        </w:rPr>
        <w:t xml:space="preserve">m følge af ovenstående er Atea, jf. udbudslovens § 138, udelukket fra deltagelse i udbudsprocedurer </w:t>
      </w:r>
      <w:r>
        <w:rPr>
          <w:rFonts w:ascii="Garamond" w:hAnsi="Garamond" w:cs="Tahoma"/>
          <w:color w:val="000000"/>
          <w:sz w:val="24"/>
          <w:szCs w:val="24"/>
          <w:shd w:val="clear" w:color="auto" w:fill="FFFFFF"/>
        </w:rPr>
        <w:t>indtil udgangen af 11. juli 2022. A</w:t>
      </w:r>
      <w:r w:rsidRPr="00032500">
        <w:rPr>
          <w:rFonts w:ascii="Garamond" w:hAnsi="Garamond"/>
          <w:sz w:val="24"/>
          <w:szCs w:val="24"/>
        </w:rPr>
        <w:t xml:space="preserve">tea </w:t>
      </w:r>
      <w:r>
        <w:rPr>
          <w:rFonts w:ascii="Garamond" w:hAnsi="Garamond"/>
          <w:sz w:val="24"/>
          <w:szCs w:val="24"/>
        </w:rPr>
        <w:t xml:space="preserve">skal dog, jf. udbudslovens § 138, gives mulighed for at dokumentere, </w:t>
      </w:r>
      <w:r w:rsidRPr="00840B55">
        <w:rPr>
          <w:rFonts w:ascii="Garamond" w:hAnsi="Garamond"/>
          <w:sz w:val="24"/>
          <w:szCs w:val="24"/>
        </w:rPr>
        <w:t xml:space="preserve">at </w:t>
      </w:r>
      <w:r>
        <w:rPr>
          <w:rFonts w:ascii="Garamond" w:hAnsi="Garamond"/>
          <w:sz w:val="24"/>
          <w:szCs w:val="24"/>
        </w:rPr>
        <w:t>Atea</w:t>
      </w:r>
      <w:r w:rsidRPr="00840B55">
        <w:rPr>
          <w:rFonts w:ascii="Garamond" w:hAnsi="Garamond"/>
          <w:sz w:val="24"/>
          <w:szCs w:val="24"/>
        </w:rPr>
        <w:t xml:space="preserve"> er pålidelig, selv om </w:t>
      </w:r>
      <w:r>
        <w:rPr>
          <w:rFonts w:ascii="Garamond" w:hAnsi="Garamond"/>
          <w:sz w:val="24"/>
          <w:szCs w:val="24"/>
        </w:rPr>
        <w:t>Atea</w:t>
      </w:r>
      <w:r w:rsidRPr="00840B55">
        <w:rPr>
          <w:rFonts w:ascii="Garamond" w:hAnsi="Garamond"/>
          <w:sz w:val="24"/>
          <w:szCs w:val="24"/>
        </w:rPr>
        <w:t xml:space="preserve"> er omfattet af udelukkelsesgrunden i</w:t>
      </w:r>
      <w:r>
        <w:rPr>
          <w:rFonts w:ascii="Garamond" w:hAnsi="Garamond"/>
          <w:sz w:val="24"/>
          <w:szCs w:val="24"/>
        </w:rPr>
        <w:t xml:space="preserve"> udbudslovens</w:t>
      </w:r>
      <w:r w:rsidRPr="00840B55">
        <w:rPr>
          <w:rFonts w:ascii="Garamond" w:hAnsi="Garamond"/>
          <w:sz w:val="24"/>
          <w:szCs w:val="24"/>
        </w:rPr>
        <w:t xml:space="preserve"> § 135</w:t>
      </w:r>
      <w:r>
        <w:rPr>
          <w:rFonts w:ascii="Garamond" w:hAnsi="Garamond"/>
          <w:sz w:val="24"/>
          <w:szCs w:val="24"/>
        </w:rPr>
        <w:t>, stk. 1 nr. 2</w:t>
      </w:r>
      <w:r w:rsidRPr="00840B55">
        <w:rPr>
          <w:rFonts w:ascii="Garamond" w:hAnsi="Garamond"/>
          <w:sz w:val="24"/>
          <w:szCs w:val="24"/>
        </w:rPr>
        <w:t>.</w:t>
      </w:r>
      <w:r>
        <w:rPr>
          <w:rFonts w:ascii="Garamond" w:hAnsi="Garamond"/>
          <w:sz w:val="24"/>
          <w:szCs w:val="24"/>
        </w:rPr>
        <w:t xml:space="preserve">   </w:t>
      </w:r>
    </w:p>
    <w:p w14:paraId="5D570795" w14:textId="642CC03B" w:rsidR="00FF075E" w:rsidRDefault="00FF075E" w:rsidP="00FF075E">
      <w:pPr>
        <w:jc w:val="both"/>
        <w:rPr>
          <w:rFonts w:ascii="Garamond" w:hAnsi="Garamond"/>
          <w:sz w:val="24"/>
          <w:szCs w:val="24"/>
        </w:rPr>
      </w:pPr>
      <w:r>
        <w:rPr>
          <w:rFonts w:ascii="Garamond" w:hAnsi="Garamond"/>
          <w:sz w:val="24"/>
          <w:szCs w:val="24"/>
        </w:rPr>
        <w:t xml:space="preserve">På denne baggrund har [ordregivende myndighed] downloadet dokumentationen og redegørelse for </w:t>
      </w:r>
      <w:proofErr w:type="spellStart"/>
      <w:r>
        <w:rPr>
          <w:rFonts w:ascii="Garamond" w:hAnsi="Garamond"/>
          <w:sz w:val="24"/>
          <w:szCs w:val="24"/>
        </w:rPr>
        <w:t>Ateas</w:t>
      </w:r>
      <w:proofErr w:type="spellEnd"/>
      <w:r>
        <w:rPr>
          <w:rFonts w:ascii="Garamond" w:hAnsi="Garamond"/>
          <w:sz w:val="24"/>
          <w:szCs w:val="24"/>
        </w:rPr>
        <w:t xml:space="preserve"> pålidelighed </w:t>
      </w:r>
      <w:r w:rsidR="004E5F17">
        <w:rPr>
          <w:rFonts w:ascii="Garamond" w:hAnsi="Garamond"/>
          <w:sz w:val="24"/>
          <w:szCs w:val="24"/>
        </w:rPr>
        <w:t xml:space="preserve">på </w:t>
      </w:r>
      <w:hyperlink r:id="rId11" w:history="1">
        <w:r w:rsidR="00740E8E" w:rsidRPr="00740E8E">
          <w:rPr>
            <w:rStyle w:val="Hyperlink"/>
            <w:rFonts w:ascii="Garamond" w:hAnsi="Garamond"/>
            <w:sz w:val="24"/>
            <w:szCs w:val="24"/>
          </w:rPr>
          <w:t>https://www.ski.dk/videnssider/ateas-redegorelse-for-selfcleaning/</w:t>
        </w:r>
      </w:hyperlink>
      <w:r w:rsidR="00740E8E">
        <w:rPr>
          <w:rFonts w:ascii="Garamond" w:hAnsi="Garamond"/>
          <w:sz w:val="24"/>
          <w:szCs w:val="24"/>
        </w:rPr>
        <w:t xml:space="preserve"> </w:t>
      </w:r>
    </w:p>
    <w:p w14:paraId="6ECAC10F" w14:textId="77777777" w:rsidR="00FF075E" w:rsidRPr="003E195A" w:rsidRDefault="00FF075E" w:rsidP="00FF075E">
      <w:pPr>
        <w:jc w:val="both"/>
        <w:rPr>
          <w:rFonts w:ascii="Garamond" w:hAnsi="Garamond"/>
          <w:i/>
          <w:sz w:val="24"/>
          <w:szCs w:val="24"/>
        </w:rPr>
      </w:pPr>
      <w:r w:rsidRPr="00A45266">
        <w:rPr>
          <w:rFonts w:ascii="Garamond" w:hAnsi="Garamond"/>
          <w:sz w:val="24"/>
          <w:szCs w:val="24"/>
        </w:rPr>
        <w:t>[</w:t>
      </w:r>
      <w:r w:rsidRPr="003E195A">
        <w:rPr>
          <w:rFonts w:ascii="Garamond" w:hAnsi="Garamond"/>
          <w:i/>
          <w:sz w:val="24"/>
          <w:szCs w:val="24"/>
        </w:rPr>
        <w:t>[Ordregivende myndighed] har d</w:t>
      </w:r>
      <w:r>
        <w:rPr>
          <w:rFonts w:ascii="Garamond" w:hAnsi="Garamond"/>
          <w:i/>
          <w:sz w:val="24"/>
          <w:szCs w:val="24"/>
        </w:rPr>
        <w:t>en</w:t>
      </w:r>
      <w:r w:rsidRPr="003E195A">
        <w:rPr>
          <w:rFonts w:ascii="Garamond" w:hAnsi="Garamond"/>
          <w:i/>
          <w:sz w:val="24"/>
          <w:szCs w:val="24"/>
        </w:rPr>
        <w:t xml:space="preserve"> […] i øvrigt bedt Atea om at redegøre yderligere for følgende forhold: </w:t>
      </w:r>
    </w:p>
    <w:p w14:paraId="735D45CC" w14:textId="77777777" w:rsidR="00FF075E" w:rsidRPr="003E195A" w:rsidRDefault="00FF075E" w:rsidP="00FF075E">
      <w:pPr>
        <w:ind w:firstLine="1304"/>
        <w:jc w:val="both"/>
        <w:rPr>
          <w:rFonts w:ascii="Garamond" w:hAnsi="Garamond"/>
          <w:i/>
          <w:sz w:val="24"/>
          <w:szCs w:val="24"/>
        </w:rPr>
      </w:pPr>
      <w:r w:rsidRPr="003E195A">
        <w:rPr>
          <w:rFonts w:ascii="Garamond" w:hAnsi="Garamond"/>
          <w:i/>
          <w:sz w:val="24"/>
          <w:szCs w:val="24"/>
        </w:rPr>
        <w:t>-</w:t>
      </w:r>
    </w:p>
    <w:p w14:paraId="5C4B8BEF" w14:textId="77777777" w:rsidR="00FF075E" w:rsidRPr="003E195A" w:rsidRDefault="00FF075E" w:rsidP="00FF075E">
      <w:pPr>
        <w:ind w:firstLine="1304"/>
        <w:jc w:val="both"/>
        <w:rPr>
          <w:rFonts w:ascii="Garamond" w:hAnsi="Garamond"/>
          <w:i/>
          <w:sz w:val="24"/>
          <w:szCs w:val="24"/>
        </w:rPr>
      </w:pPr>
      <w:r w:rsidRPr="003E195A">
        <w:rPr>
          <w:rFonts w:ascii="Garamond" w:hAnsi="Garamond"/>
          <w:i/>
          <w:sz w:val="24"/>
          <w:szCs w:val="24"/>
        </w:rPr>
        <w:t>-</w:t>
      </w:r>
    </w:p>
    <w:p w14:paraId="59442E28" w14:textId="77777777" w:rsidR="00FF075E" w:rsidRPr="003E195A" w:rsidRDefault="00FF075E" w:rsidP="00FF075E">
      <w:pPr>
        <w:ind w:firstLine="1304"/>
        <w:jc w:val="both"/>
        <w:rPr>
          <w:rFonts w:ascii="Garamond" w:hAnsi="Garamond"/>
          <w:i/>
          <w:sz w:val="24"/>
          <w:szCs w:val="24"/>
        </w:rPr>
      </w:pPr>
      <w:r w:rsidRPr="003E195A">
        <w:rPr>
          <w:rFonts w:ascii="Garamond" w:hAnsi="Garamond"/>
          <w:i/>
          <w:sz w:val="24"/>
          <w:szCs w:val="24"/>
        </w:rPr>
        <w:t>-</w:t>
      </w:r>
    </w:p>
    <w:p w14:paraId="27ABA8AC" w14:textId="77777777" w:rsidR="00FF075E" w:rsidRPr="003E195A" w:rsidRDefault="00FF075E" w:rsidP="00FF075E">
      <w:pPr>
        <w:jc w:val="both"/>
        <w:rPr>
          <w:rFonts w:ascii="Garamond" w:hAnsi="Garamond"/>
          <w:i/>
          <w:sz w:val="24"/>
          <w:szCs w:val="24"/>
        </w:rPr>
      </w:pPr>
      <w:r w:rsidRPr="003E195A">
        <w:rPr>
          <w:rFonts w:ascii="Garamond" w:hAnsi="Garamond"/>
          <w:i/>
          <w:sz w:val="24"/>
          <w:szCs w:val="24"/>
        </w:rPr>
        <w:t>Atea har d</w:t>
      </w:r>
      <w:r>
        <w:rPr>
          <w:rFonts w:ascii="Garamond" w:hAnsi="Garamond"/>
          <w:i/>
          <w:sz w:val="24"/>
          <w:szCs w:val="24"/>
        </w:rPr>
        <w:t>en</w:t>
      </w:r>
      <w:r w:rsidRPr="003E195A">
        <w:rPr>
          <w:rFonts w:ascii="Garamond" w:hAnsi="Garamond"/>
          <w:i/>
          <w:sz w:val="24"/>
          <w:szCs w:val="24"/>
        </w:rPr>
        <w:t xml:space="preserve"> […] fremsendt yderligere dokumentation for ovenstående forhold.</w:t>
      </w:r>
      <w:r w:rsidRPr="00A45266">
        <w:rPr>
          <w:rFonts w:ascii="Garamond" w:hAnsi="Garamond"/>
          <w:sz w:val="24"/>
          <w:szCs w:val="24"/>
        </w:rPr>
        <w:t>]</w:t>
      </w:r>
    </w:p>
    <w:p w14:paraId="7F7296C9" w14:textId="77777777" w:rsidR="00FF075E" w:rsidRDefault="00FF075E" w:rsidP="00FF075E">
      <w:pPr>
        <w:jc w:val="both"/>
        <w:rPr>
          <w:rFonts w:ascii="Garamond" w:hAnsi="Garamond"/>
          <w:sz w:val="24"/>
          <w:szCs w:val="24"/>
        </w:rPr>
      </w:pPr>
      <w:r>
        <w:rPr>
          <w:rFonts w:ascii="Garamond" w:hAnsi="Garamond"/>
          <w:sz w:val="24"/>
          <w:szCs w:val="24"/>
        </w:rPr>
        <w:t xml:space="preserve">Dokumentationen er vedlagt nærværende vurdering.  </w:t>
      </w:r>
    </w:p>
    <w:p w14:paraId="6A0FA816" w14:textId="1DA91BC3" w:rsidR="00FF075E" w:rsidRDefault="00FF075E" w:rsidP="00FF075E">
      <w:pPr>
        <w:jc w:val="both"/>
        <w:rPr>
          <w:rFonts w:ascii="Garamond" w:hAnsi="Garamond"/>
          <w:sz w:val="24"/>
          <w:szCs w:val="24"/>
        </w:rPr>
      </w:pPr>
      <w:r>
        <w:rPr>
          <w:rFonts w:ascii="Garamond" w:hAnsi="Garamond"/>
          <w:sz w:val="24"/>
          <w:szCs w:val="24"/>
        </w:rPr>
        <w:t>Ud</w:t>
      </w:r>
      <w:r w:rsidR="00EA2E90">
        <w:rPr>
          <w:rFonts w:ascii="Garamond" w:hAnsi="Garamond"/>
          <w:sz w:val="24"/>
          <w:szCs w:val="24"/>
        </w:rPr>
        <w:t xml:space="preserve"> </w:t>
      </w:r>
      <w:r>
        <w:rPr>
          <w:rFonts w:ascii="Garamond" w:hAnsi="Garamond"/>
          <w:sz w:val="24"/>
          <w:szCs w:val="24"/>
        </w:rPr>
        <w:t xml:space="preserve">over den af Atea fremlagte dokumentation har [ordregivende myndighed] ved vurderingen anvendt </w:t>
      </w:r>
      <w:r w:rsidRPr="00032500">
        <w:rPr>
          <w:rFonts w:ascii="Garamond" w:hAnsi="Garamond"/>
          <w:sz w:val="24"/>
          <w:szCs w:val="24"/>
        </w:rPr>
        <w:t>de vurdering</w:t>
      </w:r>
      <w:r>
        <w:rPr>
          <w:rFonts w:ascii="Garamond" w:hAnsi="Garamond"/>
          <w:sz w:val="24"/>
          <w:szCs w:val="24"/>
        </w:rPr>
        <w:t>er</w:t>
      </w:r>
      <w:r w:rsidRPr="00032500">
        <w:rPr>
          <w:rFonts w:ascii="Garamond" w:hAnsi="Garamond"/>
          <w:sz w:val="24"/>
          <w:szCs w:val="24"/>
        </w:rPr>
        <w:t xml:space="preserve"> </w:t>
      </w:r>
      <w:r>
        <w:rPr>
          <w:rFonts w:ascii="Garamond" w:hAnsi="Garamond"/>
          <w:sz w:val="24"/>
          <w:szCs w:val="24"/>
        </w:rPr>
        <w:t xml:space="preserve">med bilag, </w:t>
      </w:r>
      <w:r w:rsidRPr="00032500">
        <w:rPr>
          <w:rFonts w:ascii="Garamond" w:hAnsi="Garamond"/>
          <w:sz w:val="24"/>
          <w:szCs w:val="24"/>
        </w:rPr>
        <w:t>som</w:t>
      </w:r>
      <w:r>
        <w:rPr>
          <w:rFonts w:ascii="Garamond" w:hAnsi="Garamond"/>
          <w:sz w:val="24"/>
          <w:szCs w:val="24"/>
        </w:rPr>
        <w:t xml:space="preserve"> Staten og Kommunernes Indkøbsservice A/S (”SKI”)</w:t>
      </w:r>
      <w:r w:rsidRPr="00032500">
        <w:rPr>
          <w:rFonts w:ascii="Garamond" w:hAnsi="Garamond"/>
          <w:sz w:val="24"/>
          <w:szCs w:val="24"/>
        </w:rPr>
        <w:t xml:space="preserve"> og </w:t>
      </w:r>
      <w:r w:rsidR="00974EF6">
        <w:rPr>
          <w:rFonts w:ascii="Garamond" w:hAnsi="Garamond"/>
          <w:sz w:val="24"/>
          <w:szCs w:val="24"/>
        </w:rPr>
        <w:t>Økonomi</w:t>
      </w:r>
      <w:r w:rsidRPr="00032500">
        <w:rPr>
          <w:rFonts w:ascii="Garamond" w:hAnsi="Garamond"/>
          <w:sz w:val="24"/>
          <w:szCs w:val="24"/>
        </w:rPr>
        <w:t xml:space="preserve">styrelsen </w:t>
      </w:r>
      <w:r w:rsidR="00974EF6">
        <w:rPr>
          <w:rFonts w:ascii="Garamond" w:hAnsi="Garamond"/>
          <w:sz w:val="24"/>
          <w:szCs w:val="24"/>
        </w:rPr>
        <w:t xml:space="preserve">har </w:t>
      </w:r>
      <w:r w:rsidRPr="00032500">
        <w:rPr>
          <w:rFonts w:ascii="Garamond" w:hAnsi="Garamond"/>
          <w:sz w:val="24"/>
          <w:szCs w:val="24"/>
        </w:rPr>
        <w:t>offentliggjor</w:t>
      </w:r>
      <w:r w:rsidR="00974EF6">
        <w:rPr>
          <w:rFonts w:ascii="Garamond" w:hAnsi="Garamond"/>
          <w:sz w:val="24"/>
          <w:szCs w:val="24"/>
        </w:rPr>
        <w:t>t</w:t>
      </w:r>
      <w:r w:rsidRPr="00EA2E90">
        <w:rPr>
          <w:rFonts w:ascii="Garamond" w:hAnsi="Garamond"/>
          <w:sz w:val="24"/>
          <w:szCs w:val="24"/>
        </w:rPr>
        <w:t>, som indikation på, hvorvidt Atea har fremlagt tilstrækkelig dokumentation for pålidelighed.</w:t>
      </w:r>
      <w:r>
        <w:rPr>
          <w:rFonts w:ascii="Garamond" w:hAnsi="Garamond"/>
          <w:sz w:val="24"/>
          <w:szCs w:val="24"/>
        </w:rPr>
        <w:t xml:space="preserve"> SKI’s og </w:t>
      </w:r>
      <w:r w:rsidR="00974EF6">
        <w:rPr>
          <w:rFonts w:ascii="Garamond" w:hAnsi="Garamond"/>
          <w:sz w:val="24"/>
          <w:szCs w:val="24"/>
        </w:rPr>
        <w:t>Økonomi</w:t>
      </w:r>
      <w:r>
        <w:rPr>
          <w:rFonts w:ascii="Garamond" w:hAnsi="Garamond"/>
          <w:sz w:val="24"/>
          <w:szCs w:val="24"/>
        </w:rPr>
        <w:t>styrelsens vurderinger med bilag er vedlagt.</w:t>
      </w:r>
    </w:p>
    <w:p w14:paraId="75B032A0" w14:textId="1A6FED4E" w:rsidR="00FF075E" w:rsidRDefault="00FF075E" w:rsidP="00FF075E">
      <w:pPr>
        <w:jc w:val="both"/>
        <w:rPr>
          <w:rFonts w:ascii="Garamond" w:hAnsi="Garamond"/>
          <w:sz w:val="24"/>
          <w:szCs w:val="24"/>
        </w:rPr>
      </w:pPr>
      <w:r>
        <w:rPr>
          <w:rFonts w:ascii="Garamond" w:hAnsi="Garamond"/>
          <w:sz w:val="24"/>
          <w:szCs w:val="24"/>
        </w:rPr>
        <w:t xml:space="preserve">Endelig har Atea på tro og love – jf. vedlagte erklæring – erklæret, at </w:t>
      </w:r>
      <w:r w:rsidRPr="00950415">
        <w:rPr>
          <w:rFonts w:ascii="Garamond" w:hAnsi="Garamond"/>
          <w:sz w:val="24"/>
          <w:szCs w:val="24"/>
        </w:rPr>
        <w:t xml:space="preserve">der ikke er sket ændringer i de </w:t>
      </w:r>
      <w:r>
        <w:rPr>
          <w:rFonts w:ascii="Garamond" w:hAnsi="Garamond"/>
          <w:sz w:val="24"/>
          <w:szCs w:val="24"/>
        </w:rPr>
        <w:t xml:space="preserve">gennemførte </w:t>
      </w:r>
      <w:r w:rsidRPr="00950415">
        <w:rPr>
          <w:rFonts w:ascii="Garamond" w:hAnsi="Garamond"/>
          <w:sz w:val="24"/>
          <w:szCs w:val="24"/>
        </w:rPr>
        <w:t>foranstaltninger, eller i øvrigt foreligger nye oplysninger</w:t>
      </w:r>
      <w:r>
        <w:rPr>
          <w:rFonts w:ascii="Garamond" w:hAnsi="Garamond"/>
          <w:sz w:val="24"/>
          <w:szCs w:val="24"/>
        </w:rPr>
        <w:t xml:space="preserve"> af </w:t>
      </w:r>
      <w:r w:rsidRPr="00950415">
        <w:rPr>
          <w:rFonts w:ascii="Garamond" w:hAnsi="Garamond"/>
          <w:sz w:val="24"/>
          <w:szCs w:val="24"/>
        </w:rPr>
        <w:t xml:space="preserve">betydning for vurderingen af </w:t>
      </w:r>
      <w:proofErr w:type="spellStart"/>
      <w:r w:rsidRPr="00950415">
        <w:rPr>
          <w:rFonts w:ascii="Garamond" w:hAnsi="Garamond"/>
          <w:sz w:val="24"/>
          <w:szCs w:val="24"/>
        </w:rPr>
        <w:t>Ateas</w:t>
      </w:r>
      <w:proofErr w:type="spellEnd"/>
      <w:r w:rsidRPr="00950415">
        <w:rPr>
          <w:rFonts w:ascii="Garamond" w:hAnsi="Garamond"/>
          <w:sz w:val="24"/>
          <w:szCs w:val="24"/>
        </w:rPr>
        <w:t xml:space="preserve"> pålidelighed</w:t>
      </w:r>
      <w:r>
        <w:rPr>
          <w:rFonts w:ascii="Garamond" w:hAnsi="Garamond"/>
          <w:sz w:val="24"/>
          <w:szCs w:val="24"/>
        </w:rPr>
        <w:t xml:space="preserve"> i forhold til den </w:t>
      </w:r>
      <w:r w:rsidRPr="00032500">
        <w:rPr>
          <w:rFonts w:ascii="Garamond" w:hAnsi="Garamond"/>
          <w:sz w:val="24"/>
          <w:szCs w:val="24"/>
        </w:rPr>
        <w:t>vurdering</w:t>
      </w:r>
      <w:r>
        <w:rPr>
          <w:rFonts w:ascii="Garamond" w:hAnsi="Garamond"/>
          <w:sz w:val="24"/>
          <w:szCs w:val="24"/>
        </w:rPr>
        <w:t>,</w:t>
      </w:r>
      <w:r w:rsidRPr="00032500">
        <w:rPr>
          <w:rFonts w:ascii="Garamond" w:hAnsi="Garamond"/>
          <w:sz w:val="24"/>
          <w:szCs w:val="24"/>
        </w:rPr>
        <w:t xml:space="preserve"> som</w:t>
      </w:r>
      <w:r>
        <w:rPr>
          <w:rFonts w:ascii="Garamond" w:hAnsi="Garamond"/>
          <w:sz w:val="24"/>
          <w:szCs w:val="24"/>
        </w:rPr>
        <w:t xml:space="preserve"> SKI</w:t>
      </w:r>
      <w:r w:rsidRPr="00032500">
        <w:rPr>
          <w:rFonts w:ascii="Garamond" w:hAnsi="Garamond"/>
          <w:sz w:val="24"/>
          <w:szCs w:val="24"/>
        </w:rPr>
        <w:t xml:space="preserve"> og </w:t>
      </w:r>
      <w:r w:rsidR="00974EF6">
        <w:rPr>
          <w:rFonts w:ascii="Garamond" w:hAnsi="Garamond"/>
          <w:sz w:val="24"/>
          <w:szCs w:val="24"/>
        </w:rPr>
        <w:t>Økonomi</w:t>
      </w:r>
      <w:r w:rsidRPr="00032500">
        <w:rPr>
          <w:rFonts w:ascii="Garamond" w:hAnsi="Garamond"/>
          <w:sz w:val="24"/>
          <w:szCs w:val="24"/>
        </w:rPr>
        <w:t xml:space="preserve">styrelsen </w:t>
      </w:r>
      <w:r>
        <w:rPr>
          <w:rFonts w:ascii="Garamond" w:hAnsi="Garamond"/>
          <w:sz w:val="24"/>
          <w:szCs w:val="24"/>
        </w:rPr>
        <w:t xml:space="preserve">har </w:t>
      </w:r>
      <w:r w:rsidRPr="00032500">
        <w:rPr>
          <w:rFonts w:ascii="Garamond" w:hAnsi="Garamond"/>
          <w:sz w:val="24"/>
          <w:szCs w:val="24"/>
        </w:rPr>
        <w:t>offentliggjort</w:t>
      </w:r>
      <w:r>
        <w:rPr>
          <w:rFonts w:ascii="Garamond" w:hAnsi="Garamond"/>
          <w:sz w:val="24"/>
          <w:szCs w:val="24"/>
        </w:rPr>
        <w:t xml:space="preserve"> den </w:t>
      </w:r>
      <w:r w:rsidR="00CF39A8">
        <w:rPr>
          <w:rFonts w:ascii="Garamond" w:hAnsi="Garamond"/>
          <w:sz w:val="24"/>
          <w:szCs w:val="24"/>
        </w:rPr>
        <w:t>30</w:t>
      </w:r>
      <w:r w:rsidR="00974EF6">
        <w:rPr>
          <w:rFonts w:ascii="Garamond" w:hAnsi="Garamond"/>
          <w:sz w:val="24"/>
          <w:szCs w:val="24"/>
        </w:rPr>
        <w:t>. ju</w:t>
      </w:r>
      <w:r w:rsidR="004041A3">
        <w:rPr>
          <w:rFonts w:ascii="Garamond" w:hAnsi="Garamond"/>
          <w:sz w:val="24"/>
          <w:szCs w:val="24"/>
        </w:rPr>
        <w:t>ni</w:t>
      </w:r>
      <w:r w:rsidR="00974EF6">
        <w:rPr>
          <w:rFonts w:ascii="Garamond" w:hAnsi="Garamond"/>
          <w:sz w:val="24"/>
          <w:szCs w:val="24"/>
        </w:rPr>
        <w:t xml:space="preserve"> 202</w:t>
      </w:r>
      <w:r w:rsidR="004041A3">
        <w:rPr>
          <w:rFonts w:ascii="Garamond" w:hAnsi="Garamond"/>
          <w:sz w:val="24"/>
          <w:szCs w:val="24"/>
        </w:rPr>
        <w:t>1</w:t>
      </w:r>
      <w:r w:rsidRPr="00EA2E90">
        <w:rPr>
          <w:rFonts w:ascii="Garamond" w:hAnsi="Garamond"/>
          <w:sz w:val="24"/>
          <w:szCs w:val="24"/>
        </w:rPr>
        <w:t>, jf. ovenfor.</w:t>
      </w:r>
    </w:p>
    <w:p w14:paraId="03930DC7" w14:textId="77777777" w:rsidR="00FF075E" w:rsidRDefault="00FF075E" w:rsidP="00FF075E">
      <w:pPr>
        <w:jc w:val="both"/>
        <w:rPr>
          <w:rFonts w:ascii="Garamond" w:hAnsi="Garamond"/>
          <w:sz w:val="24"/>
          <w:szCs w:val="24"/>
        </w:rPr>
      </w:pPr>
      <w:r>
        <w:rPr>
          <w:rFonts w:ascii="Garamond" w:hAnsi="Garamond"/>
          <w:i/>
          <w:sz w:val="24"/>
          <w:szCs w:val="24"/>
        </w:rPr>
        <w:t>Vurdering af dokumentation for pålidelighed</w:t>
      </w:r>
      <w:r>
        <w:rPr>
          <w:rFonts w:ascii="Garamond" w:hAnsi="Garamond"/>
          <w:sz w:val="24"/>
          <w:szCs w:val="24"/>
        </w:rPr>
        <w:t xml:space="preserve">  </w:t>
      </w:r>
    </w:p>
    <w:p w14:paraId="3B844344" w14:textId="77777777" w:rsidR="00FF075E" w:rsidRDefault="00FF075E" w:rsidP="00FF075E">
      <w:pPr>
        <w:jc w:val="both"/>
        <w:rPr>
          <w:rFonts w:ascii="Garamond" w:hAnsi="Garamond"/>
          <w:sz w:val="24"/>
          <w:szCs w:val="24"/>
        </w:rPr>
      </w:pPr>
      <w:r>
        <w:rPr>
          <w:rFonts w:ascii="Garamond" w:hAnsi="Garamond"/>
          <w:sz w:val="24"/>
          <w:szCs w:val="24"/>
        </w:rPr>
        <w:t xml:space="preserve">På baggrund af den fremlagte dokumentation har [ordregivende myndighed], jf. udbudslovens § 138, stk. 3, nr. 1-3, undersøgt om Atea i fornødent omfang har: </w:t>
      </w:r>
    </w:p>
    <w:p w14:paraId="5C15557A" w14:textId="77777777" w:rsidR="00FF075E" w:rsidRPr="00882768" w:rsidRDefault="00FF075E" w:rsidP="00FF075E">
      <w:pPr>
        <w:pStyle w:val="Listeafsnit"/>
        <w:numPr>
          <w:ilvl w:val="0"/>
          <w:numId w:val="1"/>
        </w:numPr>
        <w:rPr>
          <w:rFonts w:ascii="Garamond" w:hAnsi="Garamond"/>
          <w:sz w:val="24"/>
          <w:szCs w:val="24"/>
        </w:rPr>
      </w:pPr>
      <w:r w:rsidRPr="00882768">
        <w:rPr>
          <w:rFonts w:ascii="Garamond" w:hAnsi="Garamond"/>
          <w:sz w:val="24"/>
          <w:szCs w:val="24"/>
        </w:rPr>
        <w:t>dokumenteret, at ansøgeren eller tilbudsgiveren har ydet erstatning, denne er blevet pålagt, eller har påtaget sig at yde erstatning for eventuelle tab som følge af sine handlinger omfattet af udelukkelsesgrundene, jf. §§ 135-137,</w:t>
      </w:r>
    </w:p>
    <w:p w14:paraId="397D17FD" w14:textId="77777777" w:rsidR="00FF075E" w:rsidRPr="00882768" w:rsidRDefault="00FF075E" w:rsidP="00FF075E">
      <w:pPr>
        <w:pStyle w:val="Listeafsnit"/>
        <w:numPr>
          <w:ilvl w:val="0"/>
          <w:numId w:val="1"/>
        </w:numPr>
        <w:rPr>
          <w:rFonts w:ascii="Garamond" w:hAnsi="Garamond"/>
          <w:sz w:val="24"/>
          <w:szCs w:val="24"/>
        </w:rPr>
      </w:pPr>
      <w:r w:rsidRPr="00882768">
        <w:rPr>
          <w:rFonts w:ascii="Garamond" w:hAnsi="Garamond"/>
          <w:sz w:val="24"/>
          <w:szCs w:val="24"/>
        </w:rPr>
        <w:t>har gjort indgående rede for forholdene og omstændighederne gennem et aktivt samarbejde med undersøgelsesmyndighederne og</w:t>
      </w:r>
    </w:p>
    <w:p w14:paraId="0F0E299E" w14:textId="77777777" w:rsidR="00FF075E" w:rsidRDefault="00FF075E" w:rsidP="00FF075E">
      <w:pPr>
        <w:pStyle w:val="Listeafsnit"/>
        <w:numPr>
          <w:ilvl w:val="0"/>
          <w:numId w:val="1"/>
        </w:numPr>
        <w:rPr>
          <w:rFonts w:ascii="Garamond" w:hAnsi="Garamond"/>
          <w:sz w:val="24"/>
          <w:szCs w:val="24"/>
        </w:rPr>
      </w:pPr>
      <w:r w:rsidRPr="00882768">
        <w:rPr>
          <w:rFonts w:ascii="Garamond" w:hAnsi="Garamond"/>
          <w:sz w:val="24"/>
          <w:szCs w:val="24"/>
        </w:rPr>
        <w:t>har truffet passende konkrete tekniske, organisatoriske og personalemæssige foranstaltninger for at forebygge yderligere overtrædelser af straffeloven eller øvrige forsømmelser omfattet af udelukkelsesgrundene.</w:t>
      </w:r>
    </w:p>
    <w:p w14:paraId="5FF342C0" w14:textId="77777777" w:rsidR="00FF075E" w:rsidRDefault="00FF075E" w:rsidP="00FF075E">
      <w:pPr>
        <w:jc w:val="both"/>
        <w:rPr>
          <w:rFonts w:ascii="Garamond" w:hAnsi="Garamond"/>
          <w:sz w:val="24"/>
          <w:szCs w:val="24"/>
        </w:rPr>
      </w:pPr>
      <w:r>
        <w:rPr>
          <w:rFonts w:ascii="Garamond" w:hAnsi="Garamond"/>
          <w:sz w:val="24"/>
          <w:szCs w:val="24"/>
        </w:rPr>
        <w:t>Ad 1</w:t>
      </w:r>
    </w:p>
    <w:p w14:paraId="1254A5F5" w14:textId="77777777" w:rsidR="00FF075E" w:rsidRPr="006A7286" w:rsidRDefault="00FF075E" w:rsidP="00FF075E">
      <w:pPr>
        <w:jc w:val="both"/>
        <w:rPr>
          <w:rFonts w:ascii="Garamond" w:hAnsi="Garamond"/>
          <w:i/>
          <w:sz w:val="24"/>
          <w:szCs w:val="24"/>
        </w:rPr>
      </w:pPr>
      <w:r>
        <w:rPr>
          <w:rFonts w:ascii="Garamond" w:hAnsi="Garamond"/>
          <w:i/>
          <w:sz w:val="24"/>
          <w:szCs w:val="24"/>
        </w:rPr>
        <w:t>[</w:t>
      </w:r>
      <w:r w:rsidRPr="006A7286">
        <w:rPr>
          <w:rFonts w:ascii="Garamond" w:hAnsi="Garamond"/>
          <w:i/>
          <w:sz w:val="24"/>
          <w:szCs w:val="24"/>
        </w:rPr>
        <w:t xml:space="preserve">Bestemmelsen angår efter sin ordlyd erstatning, som en virksomhed er blevet pålagt eller har påtaget sig at yde. Atea er os bekendt ikke i en situation, hvor virksomheden er blevet pålagt eller har påtaget sig at yde erstatning. </w:t>
      </w:r>
    </w:p>
    <w:p w14:paraId="546F5230" w14:textId="77777777" w:rsidR="00FF075E" w:rsidRPr="006A7286" w:rsidRDefault="00FF075E" w:rsidP="00FF075E">
      <w:pPr>
        <w:jc w:val="both"/>
        <w:rPr>
          <w:rFonts w:ascii="Garamond" w:hAnsi="Garamond"/>
          <w:i/>
          <w:sz w:val="24"/>
          <w:szCs w:val="24"/>
        </w:rPr>
      </w:pPr>
      <w:r w:rsidRPr="006A7286">
        <w:rPr>
          <w:rFonts w:ascii="Garamond" w:hAnsi="Garamond"/>
          <w:i/>
          <w:sz w:val="24"/>
          <w:szCs w:val="24"/>
        </w:rPr>
        <w:lastRenderedPageBreak/>
        <w:t>Ud fra ordlyden af bestemmelsen sammenholdt med ordlyden af udbudsdirektivets artikel 57, stk. 6, er der ikke grundlag for at antage, at bestemmelsen ligele</w:t>
      </w:r>
      <w:r>
        <w:rPr>
          <w:rFonts w:ascii="Garamond" w:hAnsi="Garamond"/>
          <w:i/>
          <w:sz w:val="24"/>
          <w:szCs w:val="24"/>
        </w:rPr>
        <w:t>des gælder for økono</w:t>
      </w:r>
      <w:r w:rsidRPr="006A7286">
        <w:rPr>
          <w:rFonts w:ascii="Garamond" w:hAnsi="Garamond"/>
          <w:i/>
          <w:sz w:val="24"/>
          <w:szCs w:val="24"/>
        </w:rPr>
        <w:t xml:space="preserve">miske sanktioner af </w:t>
      </w:r>
      <w:proofErr w:type="spellStart"/>
      <w:r w:rsidRPr="006A7286">
        <w:rPr>
          <w:rFonts w:ascii="Garamond" w:hAnsi="Garamond"/>
          <w:i/>
          <w:sz w:val="24"/>
          <w:szCs w:val="24"/>
        </w:rPr>
        <w:t>pønal</w:t>
      </w:r>
      <w:proofErr w:type="spellEnd"/>
      <w:r w:rsidRPr="006A7286">
        <w:rPr>
          <w:rFonts w:ascii="Garamond" w:hAnsi="Garamond"/>
          <w:i/>
          <w:sz w:val="24"/>
          <w:szCs w:val="24"/>
        </w:rPr>
        <w:t xml:space="preserve"> karakter, herunder bøder, som en virksomhed er blevet idømt.</w:t>
      </w:r>
    </w:p>
    <w:p w14:paraId="4DB0DF64" w14:textId="3FA07001" w:rsidR="00FF075E" w:rsidRPr="006A7286" w:rsidRDefault="00FF075E" w:rsidP="00FF075E">
      <w:pPr>
        <w:jc w:val="both"/>
        <w:rPr>
          <w:rFonts w:ascii="Garamond" w:hAnsi="Garamond"/>
          <w:i/>
          <w:sz w:val="24"/>
          <w:szCs w:val="24"/>
        </w:rPr>
      </w:pPr>
      <w:r>
        <w:rPr>
          <w:rFonts w:ascii="Garamond" w:hAnsi="Garamond"/>
          <w:i/>
          <w:sz w:val="24"/>
          <w:szCs w:val="24"/>
        </w:rPr>
        <w:t>Det bemærkes, at</w:t>
      </w:r>
      <w:r w:rsidRPr="006A7286">
        <w:rPr>
          <w:rFonts w:ascii="Garamond" w:hAnsi="Garamond"/>
          <w:i/>
          <w:sz w:val="24"/>
          <w:szCs w:val="24"/>
        </w:rPr>
        <w:t xml:space="preserve"> Atea </w:t>
      </w:r>
      <w:r>
        <w:rPr>
          <w:rFonts w:ascii="Garamond" w:hAnsi="Garamond"/>
          <w:i/>
          <w:sz w:val="24"/>
          <w:szCs w:val="24"/>
        </w:rPr>
        <w:t xml:space="preserve">ifølge afsnit 7 i Kammeradvokatens redegørelse af 5. september 2018 til </w:t>
      </w:r>
      <w:r w:rsidR="00974EF6">
        <w:rPr>
          <w:rFonts w:ascii="Garamond" w:hAnsi="Garamond"/>
          <w:i/>
          <w:sz w:val="24"/>
          <w:szCs w:val="24"/>
        </w:rPr>
        <w:t>Økonomi</w:t>
      </w:r>
      <w:r>
        <w:rPr>
          <w:rFonts w:ascii="Garamond" w:hAnsi="Garamond"/>
          <w:i/>
          <w:sz w:val="24"/>
          <w:szCs w:val="24"/>
        </w:rPr>
        <w:t>styrelsen og SKI har betalt</w:t>
      </w:r>
      <w:r w:rsidRPr="006A7286">
        <w:rPr>
          <w:rFonts w:ascii="Garamond" w:hAnsi="Garamond"/>
          <w:i/>
          <w:sz w:val="24"/>
          <w:szCs w:val="24"/>
        </w:rPr>
        <w:t xml:space="preserve"> bøder</w:t>
      </w:r>
      <w:r>
        <w:rPr>
          <w:rFonts w:ascii="Garamond" w:hAnsi="Garamond"/>
          <w:i/>
          <w:sz w:val="24"/>
          <w:szCs w:val="24"/>
        </w:rPr>
        <w:t>ne</w:t>
      </w:r>
      <w:r w:rsidRPr="006A7286">
        <w:rPr>
          <w:rFonts w:ascii="Garamond" w:hAnsi="Garamond"/>
          <w:i/>
          <w:sz w:val="24"/>
          <w:szCs w:val="24"/>
        </w:rPr>
        <w:t xml:space="preserve"> på henholdsvis 10 millioner og 3 millioner</w:t>
      </w:r>
      <w:r>
        <w:rPr>
          <w:rFonts w:ascii="Garamond" w:hAnsi="Garamond"/>
          <w:i/>
          <w:sz w:val="24"/>
          <w:szCs w:val="24"/>
        </w:rPr>
        <w:t xml:space="preserve"> kr</w:t>
      </w:r>
      <w:r w:rsidRPr="006A7286">
        <w:rPr>
          <w:rFonts w:ascii="Garamond" w:hAnsi="Garamond"/>
          <w:i/>
          <w:sz w:val="24"/>
          <w:szCs w:val="24"/>
        </w:rPr>
        <w:t xml:space="preserve">. </w:t>
      </w:r>
    </w:p>
    <w:p w14:paraId="1576E502" w14:textId="77777777" w:rsidR="00FF075E" w:rsidRDefault="00FF075E" w:rsidP="00FF075E">
      <w:pPr>
        <w:jc w:val="both"/>
        <w:rPr>
          <w:rFonts w:ascii="Garamond" w:hAnsi="Garamond"/>
          <w:i/>
          <w:sz w:val="24"/>
          <w:szCs w:val="24"/>
        </w:rPr>
      </w:pPr>
      <w:r w:rsidRPr="006A7286">
        <w:rPr>
          <w:rFonts w:ascii="Garamond" w:hAnsi="Garamond"/>
          <w:i/>
          <w:sz w:val="24"/>
          <w:szCs w:val="24"/>
        </w:rPr>
        <w:t>Betingelsen må på ovenstående baggrund anses for opfyldt.</w:t>
      </w:r>
      <w:r>
        <w:rPr>
          <w:rFonts w:ascii="Garamond" w:hAnsi="Garamond"/>
          <w:i/>
          <w:sz w:val="24"/>
          <w:szCs w:val="24"/>
        </w:rPr>
        <w:t>]</w:t>
      </w:r>
    </w:p>
    <w:p w14:paraId="0D3C43DD" w14:textId="77777777" w:rsidR="00FF075E" w:rsidRDefault="00FF075E" w:rsidP="00FF075E">
      <w:pPr>
        <w:jc w:val="both"/>
        <w:rPr>
          <w:rFonts w:ascii="Garamond" w:hAnsi="Garamond"/>
          <w:sz w:val="24"/>
          <w:szCs w:val="24"/>
        </w:rPr>
      </w:pPr>
      <w:r>
        <w:rPr>
          <w:rFonts w:ascii="Garamond" w:hAnsi="Garamond"/>
          <w:sz w:val="24"/>
          <w:szCs w:val="24"/>
        </w:rPr>
        <w:t>Ad 2</w:t>
      </w:r>
    </w:p>
    <w:p w14:paraId="5C04295C" w14:textId="77777777" w:rsidR="00FF075E" w:rsidRPr="006A7286" w:rsidRDefault="00FF075E" w:rsidP="00FF075E">
      <w:pPr>
        <w:jc w:val="both"/>
        <w:rPr>
          <w:rFonts w:ascii="Garamond" w:hAnsi="Garamond"/>
          <w:i/>
          <w:sz w:val="24"/>
          <w:szCs w:val="24"/>
        </w:rPr>
      </w:pPr>
      <w:r>
        <w:rPr>
          <w:rFonts w:ascii="Garamond" w:hAnsi="Garamond"/>
          <w:i/>
          <w:sz w:val="24"/>
          <w:szCs w:val="24"/>
        </w:rPr>
        <w:t>[</w:t>
      </w:r>
      <w:r w:rsidRPr="006A7286">
        <w:rPr>
          <w:rFonts w:ascii="Garamond" w:hAnsi="Garamond"/>
          <w:i/>
          <w:sz w:val="24"/>
          <w:szCs w:val="24"/>
        </w:rPr>
        <w:t xml:space="preserve">Af </w:t>
      </w:r>
      <w:r>
        <w:rPr>
          <w:rFonts w:ascii="Garamond" w:hAnsi="Garamond"/>
          <w:i/>
          <w:sz w:val="24"/>
          <w:szCs w:val="24"/>
        </w:rPr>
        <w:t>dokumentationen</w:t>
      </w:r>
      <w:r w:rsidRPr="006A7286">
        <w:rPr>
          <w:rFonts w:ascii="Garamond" w:hAnsi="Garamond"/>
          <w:i/>
          <w:sz w:val="24"/>
          <w:szCs w:val="24"/>
        </w:rPr>
        <w:t xml:space="preserve"> fremgår, at Atea aktivt har samarbejdet med S</w:t>
      </w:r>
      <w:r>
        <w:rPr>
          <w:rFonts w:ascii="Garamond" w:hAnsi="Garamond"/>
          <w:i/>
          <w:sz w:val="24"/>
          <w:szCs w:val="24"/>
        </w:rPr>
        <w:t xml:space="preserve">ØIK </w:t>
      </w:r>
      <w:r w:rsidRPr="006A7286">
        <w:rPr>
          <w:rFonts w:ascii="Garamond" w:hAnsi="Garamond"/>
          <w:i/>
          <w:sz w:val="24"/>
          <w:szCs w:val="24"/>
        </w:rPr>
        <w:t xml:space="preserve">ved at fremsende det materiale, </w:t>
      </w:r>
      <w:proofErr w:type="spellStart"/>
      <w:r w:rsidRPr="006A7286">
        <w:rPr>
          <w:rFonts w:ascii="Garamond" w:hAnsi="Garamond"/>
          <w:i/>
          <w:sz w:val="24"/>
          <w:szCs w:val="24"/>
        </w:rPr>
        <w:t>Ateas</w:t>
      </w:r>
      <w:proofErr w:type="spellEnd"/>
      <w:r w:rsidRPr="006A7286">
        <w:rPr>
          <w:rFonts w:ascii="Garamond" w:hAnsi="Garamond"/>
          <w:i/>
          <w:sz w:val="24"/>
          <w:szCs w:val="24"/>
        </w:rPr>
        <w:t xml:space="preserve"> egne interne undersøgelse har afdækket. Atea har derudover oplyst, at selskabets ledelse og medarbejdere løbende har deltaget i møder med SØIK med henblik på at besvare spørgsmål og afgive detaljerede forklaringer om sagerne, Atea A/S’ forhold, forretningsgange, administration og økonomistyring. Endelig har </w:t>
      </w:r>
      <w:r>
        <w:rPr>
          <w:rFonts w:ascii="Garamond" w:hAnsi="Garamond"/>
          <w:i/>
          <w:sz w:val="24"/>
          <w:szCs w:val="24"/>
        </w:rPr>
        <w:t>Atea i øv</w:t>
      </w:r>
      <w:r w:rsidRPr="006A7286">
        <w:rPr>
          <w:rFonts w:ascii="Garamond" w:hAnsi="Garamond"/>
          <w:i/>
          <w:sz w:val="24"/>
          <w:szCs w:val="24"/>
        </w:rPr>
        <w:t>rigt fremfundet og givet SØIK adgang til og indsigt i det m</w:t>
      </w:r>
      <w:r>
        <w:rPr>
          <w:rFonts w:ascii="Garamond" w:hAnsi="Garamond"/>
          <w:i/>
          <w:sz w:val="24"/>
          <w:szCs w:val="24"/>
        </w:rPr>
        <w:t>ateriale, de analyser og den do</w:t>
      </w:r>
      <w:r w:rsidRPr="006A7286">
        <w:rPr>
          <w:rFonts w:ascii="Garamond" w:hAnsi="Garamond"/>
          <w:i/>
          <w:sz w:val="24"/>
          <w:szCs w:val="24"/>
        </w:rPr>
        <w:t>kumentation, som SØIK løbende har anmodet om.</w:t>
      </w:r>
    </w:p>
    <w:p w14:paraId="26B3917B" w14:textId="77777777" w:rsidR="00FF075E" w:rsidRPr="006A7286" w:rsidRDefault="00FF075E" w:rsidP="00FF075E">
      <w:pPr>
        <w:jc w:val="both"/>
        <w:rPr>
          <w:rFonts w:ascii="Garamond" w:hAnsi="Garamond"/>
          <w:i/>
          <w:sz w:val="24"/>
          <w:szCs w:val="24"/>
        </w:rPr>
      </w:pPr>
      <w:r w:rsidRPr="006A7286">
        <w:rPr>
          <w:rFonts w:ascii="Garamond" w:hAnsi="Garamond"/>
          <w:i/>
          <w:sz w:val="24"/>
          <w:szCs w:val="24"/>
        </w:rPr>
        <w:t>Endelig kan vi konstatere, at retten i dommen af 27. juni 2</w:t>
      </w:r>
      <w:r>
        <w:rPr>
          <w:rFonts w:ascii="Garamond" w:hAnsi="Garamond"/>
          <w:i/>
          <w:sz w:val="24"/>
          <w:szCs w:val="24"/>
        </w:rPr>
        <w:t>017 tillagde det vægt ved straf</w:t>
      </w:r>
      <w:r w:rsidRPr="006A7286">
        <w:rPr>
          <w:rFonts w:ascii="Garamond" w:hAnsi="Garamond"/>
          <w:i/>
          <w:sz w:val="24"/>
          <w:szCs w:val="24"/>
        </w:rPr>
        <w:t xml:space="preserve">udmålingen som en formildende omstændighed, at ”selskabet har medvirket aktivt til sagens opklaring.”. </w:t>
      </w:r>
    </w:p>
    <w:p w14:paraId="51E0D41B" w14:textId="77777777" w:rsidR="00FF075E" w:rsidRPr="006A7286" w:rsidRDefault="00FF075E" w:rsidP="00FF075E">
      <w:pPr>
        <w:jc w:val="both"/>
        <w:rPr>
          <w:rFonts w:ascii="Garamond" w:hAnsi="Garamond"/>
          <w:i/>
          <w:sz w:val="24"/>
          <w:szCs w:val="24"/>
        </w:rPr>
      </w:pPr>
      <w:r w:rsidRPr="006A7286">
        <w:rPr>
          <w:rFonts w:ascii="Garamond" w:hAnsi="Garamond"/>
          <w:i/>
          <w:sz w:val="24"/>
          <w:szCs w:val="24"/>
        </w:rPr>
        <w:t>Under hensyn til det anførte fra anklagemyndigheden og re</w:t>
      </w:r>
      <w:r>
        <w:rPr>
          <w:rFonts w:ascii="Garamond" w:hAnsi="Garamond"/>
          <w:i/>
          <w:sz w:val="24"/>
          <w:szCs w:val="24"/>
        </w:rPr>
        <w:t>tten har Atea efter vores vurde</w:t>
      </w:r>
      <w:r w:rsidRPr="006A7286">
        <w:rPr>
          <w:rFonts w:ascii="Garamond" w:hAnsi="Garamond"/>
          <w:i/>
          <w:sz w:val="24"/>
          <w:szCs w:val="24"/>
        </w:rPr>
        <w:t>ring i tilstrækkelig grad dokumenteret, at selskabet har samarbejdet aktivt med de relevante undersøgelsesmyndigheder, jf. § 138, stk. 3, nr. 2.</w:t>
      </w:r>
      <w:r>
        <w:rPr>
          <w:rFonts w:ascii="Garamond" w:hAnsi="Garamond"/>
          <w:i/>
          <w:sz w:val="24"/>
          <w:szCs w:val="24"/>
        </w:rPr>
        <w:t>]</w:t>
      </w:r>
    </w:p>
    <w:p w14:paraId="3935E108" w14:textId="77777777" w:rsidR="00FF075E" w:rsidRDefault="00FF075E" w:rsidP="00FF075E">
      <w:pPr>
        <w:jc w:val="both"/>
        <w:rPr>
          <w:rFonts w:ascii="Garamond" w:hAnsi="Garamond"/>
          <w:sz w:val="24"/>
          <w:szCs w:val="24"/>
        </w:rPr>
      </w:pPr>
      <w:r>
        <w:rPr>
          <w:rFonts w:ascii="Garamond" w:hAnsi="Garamond"/>
          <w:sz w:val="24"/>
          <w:szCs w:val="24"/>
        </w:rPr>
        <w:t>Ad 3</w:t>
      </w:r>
    </w:p>
    <w:p w14:paraId="41047CAE" w14:textId="5F5F9EE7" w:rsidR="0086027D" w:rsidRPr="0086027D" w:rsidRDefault="00FF075E" w:rsidP="709C0ADA">
      <w:pPr>
        <w:rPr>
          <w:rFonts w:ascii="Garamond" w:hAnsi="Garamond"/>
          <w:i/>
          <w:iCs/>
          <w:sz w:val="24"/>
          <w:szCs w:val="24"/>
        </w:rPr>
      </w:pPr>
      <w:r w:rsidRPr="709C0ADA">
        <w:rPr>
          <w:rFonts w:ascii="Garamond" w:hAnsi="Garamond"/>
          <w:i/>
          <w:iCs/>
          <w:sz w:val="24"/>
          <w:szCs w:val="24"/>
        </w:rPr>
        <w:t>[</w:t>
      </w:r>
      <w:r w:rsidR="0086027D" w:rsidRPr="709C0ADA">
        <w:rPr>
          <w:rFonts w:ascii="Garamond" w:hAnsi="Garamond"/>
          <w:i/>
          <w:iCs/>
          <w:sz w:val="24"/>
          <w:szCs w:val="24"/>
        </w:rPr>
        <w:t xml:space="preserve">Det er </w:t>
      </w:r>
      <w:r w:rsidR="0086027D" w:rsidRPr="001327ED">
        <w:rPr>
          <w:rFonts w:ascii="Garamond" w:hAnsi="Garamond"/>
          <w:i/>
          <w:iCs/>
          <w:sz w:val="24"/>
          <w:szCs w:val="24"/>
          <w:u w:val="single"/>
        </w:rPr>
        <w:t>samlet set vores vurdering</w:t>
      </w:r>
      <w:r w:rsidR="0086027D" w:rsidRPr="709C0ADA">
        <w:rPr>
          <w:rFonts w:ascii="Garamond" w:hAnsi="Garamond"/>
          <w:i/>
          <w:iCs/>
          <w:sz w:val="24"/>
          <w:szCs w:val="24"/>
        </w:rPr>
        <w:t xml:space="preserve">, at Atea i tilstrækkelig grad har dokumenteret, at virksomheden fortsat er pålidelig. Vi finder således ikke på det foreliggende grundlag anledning til at ændre konklusionen i vores vurdering af 5. september 2018. Vi finder det samlet set dokumenteret, at de mange initiativer, som Atea har iværksat og implementeret, siden </w:t>
      </w:r>
      <w:r w:rsidR="4C26A614" w:rsidRPr="709C0ADA">
        <w:rPr>
          <w:rFonts w:ascii="Garamond" w:hAnsi="Garamond"/>
          <w:i/>
          <w:iCs/>
          <w:sz w:val="24"/>
          <w:szCs w:val="24"/>
        </w:rPr>
        <w:t>domstolsbehandlingen</w:t>
      </w:r>
      <w:r w:rsidR="0086027D" w:rsidRPr="709C0ADA">
        <w:rPr>
          <w:rFonts w:ascii="Garamond" w:hAnsi="Garamond"/>
          <w:i/>
          <w:iCs/>
          <w:sz w:val="24"/>
          <w:szCs w:val="24"/>
        </w:rPr>
        <w:t xml:space="preserve"> begyndte for knap fire år siden, efterleves i praksis, og at der fortsat er fokus på at fastholde opmærksomhed på Compliance-arbejdet internt i organisationen, herunder ved løbende evaluering og tilpasning af de eksisterende politikker og procedurer. </w:t>
      </w:r>
    </w:p>
    <w:p w14:paraId="15E0FCC9" w14:textId="0118134C" w:rsidR="00FF075E" w:rsidRPr="00C70010" w:rsidRDefault="0086027D" w:rsidP="0086027D">
      <w:pPr>
        <w:rPr>
          <w:rFonts w:ascii="Garamond" w:hAnsi="Garamond"/>
          <w:i/>
          <w:sz w:val="24"/>
          <w:szCs w:val="24"/>
        </w:rPr>
      </w:pPr>
      <w:r w:rsidRPr="0086027D">
        <w:rPr>
          <w:rFonts w:ascii="Garamond" w:hAnsi="Garamond"/>
          <w:i/>
          <w:sz w:val="24"/>
          <w:szCs w:val="24"/>
        </w:rPr>
        <w:t>Det er således vores vurdering, at Atea fortsat har et betydeligt fokus på at få genoprettet tilliden til virksomheden og at undgå, at lignende situationer opstår igen</w:t>
      </w:r>
      <w:proofErr w:type="gramStart"/>
      <w:r w:rsidRPr="0086027D">
        <w:rPr>
          <w:rFonts w:ascii="Garamond" w:hAnsi="Garamond"/>
          <w:i/>
          <w:sz w:val="24"/>
          <w:szCs w:val="24"/>
        </w:rPr>
        <w:t xml:space="preserve">. </w:t>
      </w:r>
      <w:r w:rsidR="00FF075E">
        <w:rPr>
          <w:rFonts w:ascii="Garamond" w:hAnsi="Garamond"/>
          <w:i/>
          <w:sz w:val="24"/>
          <w:szCs w:val="24"/>
        </w:rPr>
        <w:t>]</w:t>
      </w:r>
      <w:proofErr w:type="gramEnd"/>
    </w:p>
    <w:p w14:paraId="734E7485" w14:textId="77777777" w:rsidR="00FF075E" w:rsidRDefault="00FF075E" w:rsidP="00FF075E">
      <w:pPr>
        <w:jc w:val="both"/>
        <w:rPr>
          <w:rFonts w:ascii="Garamond" w:hAnsi="Garamond"/>
          <w:sz w:val="24"/>
          <w:szCs w:val="24"/>
        </w:rPr>
      </w:pPr>
      <w:r>
        <w:rPr>
          <w:rFonts w:ascii="Garamond" w:hAnsi="Garamond"/>
          <w:sz w:val="24"/>
          <w:szCs w:val="24"/>
        </w:rPr>
        <w:t xml:space="preserve">På baggrund af ovenstående er det [ordregivende </w:t>
      </w:r>
      <w:proofErr w:type="gramStart"/>
      <w:r>
        <w:rPr>
          <w:rFonts w:ascii="Garamond" w:hAnsi="Garamond"/>
          <w:sz w:val="24"/>
          <w:szCs w:val="24"/>
        </w:rPr>
        <w:t>myndighed]s</w:t>
      </w:r>
      <w:proofErr w:type="gramEnd"/>
      <w:r>
        <w:rPr>
          <w:rFonts w:ascii="Garamond" w:hAnsi="Garamond"/>
          <w:sz w:val="24"/>
          <w:szCs w:val="24"/>
        </w:rPr>
        <w:t xml:space="preserve"> </w:t>
      </w:r>
      <w:r w:rsidRPr="00DF26CF">
        <w:rPr>
          <w:rFonts w:ascii="Garamond" w:hAnsi="Garamond"/>
          <w:i/>
          <w:sz w:val="24"/>
          <w:szCs w:val="24"/>
        </w:rPr>
        <w:t>samlede vurdering</w:t>
      </w:r>
      <w:r>
        <w:rPr>
          <w:rFonts w:ascii="Garamond" w:hAnsi="Garamond"/>
          <w:sz w:val="24"/>
          <w:szCs w:val="24"/>
        </w:rPr>
        <w:t xml:space="preserve">, at Atea har fremlagt tilstrækkelig dokumentation for pålidelighed jf. udbudslovens § 138, stk. 3, hvorfor Atea herefter ikke kan udelukkes fra deltagelse i nærværende udbudsprocedure. </w:t>
      </w:r>
    </w:p>
    <w:p w14:paraId="23D919CA" w14:textId="77777777" w:rsidR="00FF075E" w:rsidRDefault="00FF075E" w:rsidP="00FF075E">
      <w:pPr>
        <w:jc w:val="both"/>
        <w:rPr>
          <w:rFonts w:ascii="Garamond" w:hAnsi="Garamond"/>
          <w:sz w:val="24"/>
          <w:szCs w:val="24"/>
        </w:rPr>
      </w:pPr>
      <w:r>
        <w:rPr>
          <w:rFonts w:ascii="Garamond" w:hAnsi="Garamond"/>
          <w:sz w:val="24"/>
          <w:szCs w:val="24"/>
        </w:rPr>
        <w:t xml:space="preserve">[Evt. underskrift]. </w:t>
      </w:r>
    </w:p>
    <w:p w14:paraId="5ABF1D71" w14:textId="77777777" w:rsidR="00FF075E" w:rsidRDefault="00FF075E" w:rsidP="00FF075E">
      <w:pPr>
        <w:rPr>
          <w:rFonts w:ascii="Garamond" w:hAnsi="Garamond"/>
          <w:sz w:val="24"/>
          <w:szCs w:val="24"/>
        </w:rPr>
      </w:pPr>
    </w:p>
    <w:p w14:paraId="70D967B1" w14:textId="77777777" w:rsidR="00750A7C" w:rsidRPr="00F53C5E" w:rsidRDefault="00750A7C"/>
    <w:sectPr w:rsidR="00750A7C" w:rsidRPr="00F53C5E" w:rsidSect="001D7F7F">
      <w:headerReference w:type="even" r:id="rId12"/>
      <w:headerReference w:type="default" r:id="rId13"/>
      <w:footerReference w:type="default" r:id="rId14"/>
      <w:headerReference w:type="first" r:id="rId15"/>
      <w:footerReference w:type="first" r:id="rId16"/>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2C81" w14:textId="77777777" w:rsidR="001A3E04" w:rsidRDefault="001A3E04">
      <w:pPr>
        <w:spacing w:after="0" w:line="240" w:lineRule="auto"/>
      </w:pPr>
      <w:r>
        <w:separator/>
      </w:r>
    </w:p>
  </w:endnote>
  <w:endnote w:type="continuationSeparator" w:id="0">
    <w:p w14:paraId="627BE382" w14:textId="77777777" w:rsidR="001A3E04" w:rsidRDefault="001A3E04">
      <w:pPr>
        <w:spacing w:after="0" w:line="240" w:lineRule="auto"/>
      </w:pPr>
      <w:r>
        <w:continuationSeparator/>
      </w:r>
    </w:p>
  </w:endnote>
  <w:endnote w:type="continuationNotice" w:id="1">
    <w:p w14:paraId="6A81CBC0" w14:textId="77777777" w:rsidR="001A3E04" w:rsidRDefault="001A3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single" w:sz="8" w:space="0" w:color="E7E6E6" w:themeColor="background2"/>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4536"/>
      <w:gridCol w:w="1882"/>
      <w:gridCol w:w="3210"/>
    </w:tblGrid>
    <w:tr w:rsidR="000D1A9D" w14:paraId="3388F6C9" w14:textId="77777777" w:rsidTr="00B51F89">
      <w:tc>
        <w:tcPr>
          <w:tcW w:w="4536" w:type="dxa"/>
        </w:tcPr>
        <w:p w14:paraId="7DDA2918" w14:textId="77777777" w:rsidR="000D1A9D" w:rsidRDefault="000D1A9D" w:rsidP="000D1A9D">
          <w:pPr>
            <w:pStyle w:val="Sidefod"/>
          </w:pPr>
        </w:p>
      </w:tc>
      <w:tc>
        <w:tcPr>
          <w:tcW w:w="1882" w:type="dxa"/>
        </w:tcPr>
        <w:p w14:paraId="35677322" w14:textId="77777777" w:rsidR="000D1A9D" w:rsidRDefault="000D1A9D" w:rsidP="000D1A9D">
          <w:pPr>
            <w:pStyle w:val="Sidefod"/>
          </w:pPr>
        </w:p>
      </w:tc>
      <w:tc>
        <w:tcPr>
          <w:tcW w:w="3210" w:type="dxa"/>
        </w:tcPr>
        <w:p w14:paraId="5CB8AB1A" w14:textId="00B30A09" w:rsidR="000D1A9D" w:rsidRDefault="00FF075E" w:rsidP="000D1A9D">
          <w:pPr>
            <w:pStyle w:val="Sidefod"/>
            <w:jc w:val="right"/>
          </w:pPr>
          <w:r>
            <w:t xml:space="preserve">Side </w:t>
          </w:r>
          <w:r>
            <w:rPr>
              <w:b/>
              <w:bCs/>
            </w:rPr>
            <w:fldChar w:fldCharType="begin"/>
          </w:r>
          <w:r>
            <w:rPr>
              <w:b/>
              <w:bCs/>
            </w:rPr>
            <w:instrText>PAGE  \* Arabic  \* MERGEFORMAT</w:instrText>
          </w:r>
          <w:r>
            <w:rPr>
              <w:b/>
              <w:bCs/>
            </w:rPr>
            <w:fldChar w:fldCharType="separate"/>
          </w:r>
          <w:r w:rsidR="00974EF6">
            <w:rPr>
              <w:b/>
              <w:bCs/>
              <w:noProof/>
            </w:rPr>
            <w:t>3</w:t>
          </w:r>
          <w:r>
            <w:rPr>
              <w:b/>
              <w:bCs/>
            </w:rPr>
            <w:fldChar w:fldCharType="end"/>
          </w:r>
          <w:r>
            <w:t xml:space="preserve"> af </w:t>
          </w:r>
          <w:r>
            <w:rPr>
              <w:b/>
              <w:bCs/>
            </w:rPr>
            <w:fldChar w:fldCharType="begin"/>
          </w:r>
          <w:r>
            <w:rPr>
              <w:b/>
              <w:bCs/>
            </w:rPr>
            <w:instrText>NUMPAGES  \* Arabic  \* MERGEFORMAT</w:instrText>
          </w:r>
          <w:r>
            <w:rPr>
              <w:b/>
              <w:bCs/>
            </w:rPr>
            <w:fldChar w:fldCharType="separate"/>
          </w:r>
          <w:r w:rsidR="00974EF6">
            <w:rPr>
              <w:b/>
              <w:bCs/>
              <w:noProof/>
            </w:rPr>
            <w:t>3</w:t>
          </w:r>
          <w:r>
            <w:rPr>
              <w:b/>
              <w:bCs/>
            </w:rPr>
            <w:fldChar w:fldCharType="end"/>
          </w:r>
        </w:p>
      </w:tc>
    </w:tr>
  </w:tbl>
  <w:p w14:paraId="28705DE7" w14:textId="77777777" w:rsidR="000D1A9D" w:rsidRDefault="000D1A9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single" w:sz="8" w:space="0" w:color="E7E6E6" w:themeColor="background2"/>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4536"/>
      <w:gridCol w:w="1882"/>
      <w:gridCol w:w="3210"/>
    </w:tblGrid>
    <w:tr w:rsidR="001D7F7F" w14:paraId="3680E9C6" w14:textId="77777777" w:rsidTr="00246533">
      <w:tc>
        <w:tcPr>
          <w:tcW w:w="4536" w:type="dxa"/>
        </w:tcPr>
        <w:p w14:paraId="1E280D55" w14:textId="77777777" w:rsidR="001D7F7F" w:rsidRDefault="001D7F7F" w:rsidP="001D7F7F">
          <w:pPr>
            <w:pStyle w:val="Sidefod"/>
          </w:pPr>
        </w:p>
      </w:tc>
      <w:tc>
        <w:tcPr>
          <w:tcW w:w="1882" w:type="dxa"/>
        </w:tcPr>
        <w:p w14:paraId="01944109" w14:textId="77777777" w:rsidR="001D7F7F" w:rsidRDefault="001D7F7F" w:rsidP="001D7F7F">
          <w:pPr>
            <w:pStyle w:val="Sidefod"/>
          </w:pPr>
        </w:p>
      </w:tc>
      <w:tc>
        <w:tcPr>
          <w:tcW w:w="3210" w:type="dxa"/>
        </w:tcPr>
        <w:p w14:paraId="2F8FB0DD" w14:textId="6E6463B3" w:rsidR="001D7F7F" w:rsidRDefault="00FF075E" w:rsidP="001D7F7F">
          <w:pPr>
            <w:pStyle w:val="Sidefod"/>
            <w:jc w:val="right"/>
          </w:pPr>
          <w:r>
            <w:t xml:space="preserve">Side </w:t>
          </w:r>
          <w:r>
            <w:rPr>
              <w:b/>
              <w:bCs/>
            </w:rPr>
            <w:fldChar w:fldCharType="begin"/>
          </w:r>
          <w:r>
            <w:rPr>
              <w:b/>
              <w:bCs/>
            </w:rPr>
            <w:instrText>PAGE  \* Arabic  \* MERGEFORMAT</w:instrText>
          </w:r>
          <w:r>
            <w:rPr>
              <w:b/>
              <w:bCs/>
            </w:rPr>
            <w:fldChar w:fldCharType="separate"/>
          </w:r>
          <w:r w:rsidR="00974EF6">
            <w:rPr>
              <w:b/>
              <w:bCs/>
              <w:noProof/>
            </w:rPr>
            <w:t>1</w:t>
          </w:r>
          <w:r>
            <w:rPr>
              <w:b/>
              <w:bCs/>
            </w:rPr>
            <w:fldChar w:fldCharType="end"/>
          </w:r>
          <w:r>
            <w:t xml:space="preserve"> af </w:t>
          </w:r>
          <w:r>
            <w:rPr>
              <w:b/>
              <w:bCs/>
            </w:rPr>
            <w:fldChar w:fldCharType="begin"/>
          </w:r>
          <w:r>
            <w:rPr>
              <w:b/>
              <w:bCs/>
            </w:rPr>
            <w:instrText>NUMPAGES  \* Arabic  \* MERGEFORMAT</w:instrText>
          </w:r>
          <w:r>
            <w:rPr>
              <w:b/>
              <w:bCs/>
            </w:rPr>
            <w:fldChar w:fldCharType="separate"/>
          </w:r>
          <w:r w:rsidR="00974EF6">
            <w:rPr>
              <w:b/>
              <w:bCs/>
              <w:noProof/>
            </w:rPr>
            <w:t>3</w:t>
          </w:r>
          <w:r>
            <w:rPr>
              <w:b/>
              <w:bCs/>
            </w:rPr>
            <w:fldChar w:fldCharType="end"/>
          </w:r>
        </w:p>
      </w:tc>
    </w:tr>
  </w:tbl>
  <w:p w14:paraId="0A952DF5" w14:textId="77777777" w:rsidR="001D7F7F" w:rsidRDefault="001D7F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2AC2" w14:textId="77777777" w:rsidR="001A3E04" w:rsidRDefault="001A3E04">
      <w:pPr>
        <w:spacing w:after="0" w:line="240" w:lineRule="auto"/>
      </w:pPr>
      <w:r>
        <w:separator/>
      </w:r>
    </w:p>
  </w:footnote>
  <w:footnote w:type="continuationSeparator" w:id="0">
    <w:p w14:paraId="38A91B01" w14:textId="77777777" w:rsidR="001A3E04" w:rsidRDefault="001A3E04">
      <w:pPr>
        <w:spacing w:after="0" w:line="240" w:lineRule="auto"/>
      </w:pPr>
      <w:r>
        <w:continuationSeparator/>
      </w:r>
    </w:p>
  </w:footnote>
  <w:footnote w:type="continuationNotice" w:id="1">
    <w:p w14:paraId="58AAE23E" w14:textId="77777777" w:rsidR="001A3E04" w:rsidRDefault="001A3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AE3E" w14:textId="2787CBA1" w:rsidR="00616A3D" w:rsidRDefault="00616A3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6CD3" w14:textId="1F9B9896" w:rsidR="001D7F7F" w:rsidRDefault="001D7F7F" w:rsidP="001D7F7F">
    <w:pPr>
      <w:pStyle w:val="Sidehoved"/>
    </w:pPr>
  </w:p>
  <w:p w14:paraId="2470886F" w14:textId="77777777" w:rsidR="00FA4BDF" w:rsidRPr="001D7F7F" w:rsidRDefault="00FA4BDF" w:rsidP="001D7F7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87BB" w14:textId="07321622" w:rsidR="00616A3D" w:rsidRDefault="00616A3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5A7B"/>
    <w:multiLevelType w:val="hybridMultilevel"/>
    <w:tmpl w:val="DAA0BEF8"/>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8525DF6"/>
    <w:multiLevelType w:val="hybridMultilevel"/>
    <w:tmpl w:val="DC8C907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 w15:restartNumberingAfterBreak="0">
    <w:nsid w:val="3DFD5064"/>
    <w:multiLevelType w:val="hybridMultilevel"/>
    <w:tmpl w:val="BD6684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7B303531"/>
    <w:multiLevelType w:val="hybridMultilevel"/>
    <w:tmpl w:val="C5E21F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FBF59DD"/>
    <w:multiLevelType w:val="hybridMultilevel"/>
    <w:tmpl w:val="103BF2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CF"/>
    <w:rsid w:val="000129CF"/>
    <w:rsid w:val="000255B1"/>
    <w:rsid w:val="00032500"/>
    <w:rsid w:val="000474AB"/>
    <w:rsid w:val="00057767"/>
    <w:rsid w:val="000761DC"/>
    <w:rsid w:val="000A1066"/>
    <w:rsid w:val="000A6B06"/>
    <w:rsid w:val="000B00A9"/>
    <w:rsid w:val="000D1A9D"/>
    <w:rsid w:val="000D7CD2"/>
    <w:rsid w:val="00101041"/>
    <w:rsid w:val="00101071"/>
    <w:rsid w:val="001205E1"/>
    <w:rsid w:val="001327ED"/>
    <w:rsid w:val="00132E24"/>
    <w:rsid w:val="00134850"/>
    <w:rsid w:val="001359D4"/>
    <w:rsid w:val="00165271"/>
    <w:rsid w:val="00175DD8"/>
    <w:rsid w:val="001778DC"/>
    <w:rsid w:val="001A03DB"/>
    <w:rsid w:val="001A3E04"/>
    <w:rsid w:val="001A6CD0"/>
    <w:rsid w:val="001D7F7F"/>
    <w:rsid w:val="002010E3"/>
    <w:rsid w:val="002024B5"/>
    <w:rsid w:val="002071BC"/>
    <w:rsid w:val="00235F85"/>
    <w:rsid w:val="00246533"/>
    <w:rsid w:val="002634A0"/>
    <w:rsid w:val="00266927"/>
    <w:rsid w:val="002770A4"/>
    <w:rsid w:val="00282A56"/>
    <w:rsid w:val="002B21A2"/>
    <w:rsid w:val="002B412E"/>
    <w:rsid w:val="002F0421"/>
    <w:rsid w:val="002F156F"/>
    <w:rsid w:val="003724CB"/>
    <w:rsid w:val="003A0DCE"/>
    <w:rsid w:val="003A6363"/>
    <w:rsid w:val="003A63AA"/>
    <w:rsid w:val="003C7AC4"/>
    <w:rsid w:val="003D15B0"/>
    <w:rsid w:val="003E195A"/>
    <w:rsid w:val="003E492E"/>
    <w:rsid w:val="003E4E73"/>
    <w:rsid w:val="003E62F7"/>
    <w:rsid w:val="003F0F7D"/>
    <w:rsid w:val="004041A3"/>
    <w:rsid w:val="00420FD6"/>
    <w:rsid w:val="00451160"/>
    <w:rsid w:val="00462874"/>
    <w:rsid w:val="004A3B3A"/>
    <w:rsid w:val="004A6443"/>
    <w:rsid w:val="004C1594"/>
    <w:rsid w:val="004D43EA"/>
    <w:rsid w:val="004D625E"/>
    <w:rsid w:val="004E5F17"/>
    <w:rsid w:val="004F016A"/>
    <w:rsid w:val="004F1157"/>
    <w:rsid w:val="004F1D2B"/>
    <w:rsid w:val="004F2953"/>
    <w:rsid w:val="00527769"/>
    <w:rsid w:val="00530AC2"/>
    <w:rsid w:val="005357EC"/>
    <w:rsid w:val="00563D85"/>
    <w:rsid w:val="00572DA1"/>
    <w:rsid w:val="005936D0"/>
    <w:rsid w:val="00593A3E"/>
    <w:rsid w:val="005B1712"/>
    <w:rsid w:val="005C1F92"/>
    <w:rsid w:val="00601145"/>
    <w:rsid w:val="00616A3D"/>
    <w:rsid w:val="0061760F"/>
    <w:rsid w:val="006200D8"/>
    <w:rsid w:val="006219C9"/>
    <w:rsid w:val="00625806"/>
    <w:rsid w:val="006341FC"/>
    <w:rsid w:val="00643505"/>
    <w:rsid w:val="0064714B"/>
    <w:rsid w:val="00664163"/>
    <w:rsid w:val="00666C4A"/>
    <w:rsid w:val="006674C8"/>
    <w:rsid w:val="0069773C"/>
    <w:rsid w:val="006A7286"/>
    <w:rsid w:val="006B100A"/>
    <w:rsid w:val="006B14AC"/>
    <w:rsid w:val="006B58F9"/>
    <w:rsid w:val="006C0BF5"/>
    <w:rsid w:val="006C264D"/>
    <w:rsid w:val="006E7486"/>
    <w:rsid w:val="006F11C8"/>
    <w:rsid w:val="00731061"/>
    <w:rsid w:val="00740E8E"/>
    <w:rsid w:val="007443E8"/>
    <w:rsid w:val="00750A7C"/>
    <w:rsid w:val="00755193"/>
    <w:rsid w:val="00774CA8"/>
    <w:rsid w:val="007C7A4F"/>
    <w:rsid w:val="007D4371"/>
    <w:rsid w:val="007D6556"/>
    <w:rsid w:val="00812299"/>
    <w:rsid w:val="00812C8B"/>
    <w:rsid w:val="00813264"/>
    <w:rsid w:val="00822828"/>
    <w:rsid w:val="00840915"/>
    <w:rsid w:val="00840B55"/>
    <w:rsid w:val="00845AE4"/>
    <w:rsid w:val="00854D0C"/>
    <w:rsid w:val="008558CD"/>
    <w:rsid w:val="0086027D"/>
    <w:rsid w:val="00861DA5"/>
    <w:rsid w:val="0087658D"/>
    <w:rsid w:val="00877400"/>
    <w:rsid w:val="00882768"/>
    <w:rsid w:val="00890348"/>
    <w:rsid w:val="008916C3"/>
    <w:rsid w:val="0090563C"/>
    <w:rsid w:val="009103DB"/>
    <w:rsid w:val="00913A64"/>
    <w:rsid w:val="00936B4E"/>
    <w:rsid w:val="0095071C"/>
    <w:rsid w:val="009521ED"/>
    <w:rsid w:val="00965A0E"/>
    <w:rsid w:val="009746B2"/>
    <w:rsid w:val="00974EF6"/>
    <w:rsid w:val="009842ED"/>
    <w:rsid w:val="009B07DE"/>
    <w:rsid w:val="009C288C"/>
    <w:rsid w:val="009C7869"/>
    <w:rsid w:val="009D41C2"/>
    <w:rsid w:val="009E6B5B"/>
    <w:rsid w:val="00A01FB6"/>
    <w:rsid w:val="00A330BF"/>
    <w:rsid w:val="00A45266"/>
    <w:rsid w:val="00A864C7"/>
    <w:rsid w:val="00A8724D"/>
    <w:rsid w:val="00AA267D"/>
    <w:rsid w:val="00AB32D8"/>
    <w:rsid w:val="00AB678E"/>
    <w:rsid w:val="00AD6E07"/>
    <w:rsid w:val="00AF20FC"/>
    <w:rsid w:val="00B16C70"/>
    <w:rsid w:val="00B267D8"/>
    <w:rsid w:val="00B304F9"/>
    <w:rsid w:val="00B50E3D"/>
    <w:rsid w:val="00B51F89"/>
    <w:rsid w:val="00B56946"/>
    <w:rsid w:val="00B56BEE"/>
    <w:rsid w:val="00B612B5"/>
    <w:rsid w:val="00B656CF"/>
    <w:rsid w:val="00B75849"/>
    <w:rsid w:val="00B96507"/>
    <w:rsid w:val="00BC53A0"/>
    <w:rsid w:val="00C35A06"/>
    <w:rsid w:val="00C5199E"/>
    <w:rsid w:val="00C90CFE"/>
    <w:rsid w:val="00C95396"/>
    <w:rsid w:val="00CA1D84"/>
    <w:rsid w:val="00CB1447"/>
    <w:rsid w:val="00CC74E8"/>
    <w:rsid w:val="00CD1CB3"/>
    <w:rsid w:val="00CD4D8D"/>
    <w:rsid w:val="00CF39A8"/>
    <w:rsid w:val="00D2207F"/>
    <w:rsid w:val="00D2606E"/>
    <w:rsid w:val="00D4514A"/>
    <w:rsid w:val="00D51A45"/>
    <w:rsid w:val="00D623B8"/>
    <w:rsid w:val="00D67646"/>
    <w:rsid w:val="00D777AE"/>
    <w:rsid w:val="00D80C81"/>
    <w:rsid w:val="00DA1C44"/>
    <w:rsid w:val="00DA4CB8"/>
    <w:rsid w:val="00DA65A7"/>
    <w:rsid w:val="00DB7194"/>
    <w:rsid w:val="00DC5374"/>
    <w:rsid w:val="00DE5385"/>
    <w:rsid w:val="00DF26CF"/>
    <w:rsid w:val="00E24239"/>
    <w:rsid w:val="00E408F9"/>
    <w:rsid w:val="00E439CE"/>
    <w:rsid w:val="00E44F71"/>
    <w:rsid w:val="00E53822"/>
    <w:rsid w:val="00E73B16"/>
    <w:rsid w:val="00E83DF4"/>
    <w:rsid w:val="00E92907"/>
    <w:rsid w:val="00E937D4"/>
    <w:rsid w:val="00EA2E90"/>
    <w:rsid w:val="00EC1CD3"/>
    <w:rsid w:val="00EE3C04"/>
    <w:rsid w:val="00EF02AB"/>
    <w:rsid w:val="00F00C8A"/>
    <w:rsid w:val="00F11DB4"/>
    <w:rsid w:val="00F1332B"/>
    <w:rsid w:val="00F142F2"/>
    <w:rsid w:val="00F33B78"/>
    <w:rsid w:val="00F53C5E"/>
    <w:rsid w:val="00F544E0"/>
    <w:rsid w:val="00F65304"/>
    <w:rsid w:val="00F729E6"/>
    <w:rsid w:val="00F778C2"/>
    <w:rsid w:val="00FA4BDF"/>
    <w:rsid w:val="00FC5460"/>
    <w:rsid w:val="00FF075E"/>
    <w:rsid w:val="0D49D74A"/>
    <w:rsid w:val="175227AE"/>
    <w:rsid w:val="440FDCFA"/>
    <w:rsid w:val="4C26A614"/>
    <w:rsid w:val="6B571A66"/>
    <w:rsid w:val="6DB8A3A0"/>
    <w:rsid w:val="6FE6B311"/>
    <w:rsid w:val="709C0A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2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75E"/>
    <w:rPr>
      <w:sz w:val="20"/>
    </w:rPr>
  </w:style>
  <w:style w:type="paragraph" w:styleId="Overskrift1">
    <w:name w:val="heading 1"/>
    <w:basedOn w:val="Normal"/>
    <w:next w:val="Normal"/>
    <w:link w:val="Overskrift1Tegn"/>
    <w:uiPriority w:val="9"/>
    <w:qFormat/>
    <w:rsid w:val="00FF075E"/>
    <w:pPr>
      <w:keepNext/>
      <w:keepLines/>
      <w:spacing w:before="120" w:after="12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075E"/>
    <w:rPr>
      <w:rFonts w:asciiTheme="majorHAnsi" w:eastAsiaTheme="majorEastAsia" w:hAnsiTheme="majorHAnsi" w:cstheme="majorBidi"/>
      <w:color w:val="2E74B5" w:themeColor="accent1" w:themeShade="BF"/>
      <w:sz w:val="32"/>
      <w:szCs w:val="32"/>
    </w:rPr>
  </w:style>
  <w:style w:type="character" w:styleId="Hyperlink">
    <w:name w:val="Hyperlink"/>
    <w:basedOn w:val="Standardskrifttypeiafsnit"/>
    <w:uiPriority w:val="99"/>
    <w:unhideWhenUsed/>
    <w:rsid w:val="00FF075E"/>
    <w:rPr>
      <w:color w:val="006082"/>
      <w:u w:val="none"/>
    </w:rPr>
  </w:style>
  <w:style w:type="table" w:styleId="Tabel-Gitter">
    <w:name w:val="Table Grid"/>
    <w:basedOn w:val="Tabel-Normal"/>
    <w:uiPriority w:val="39"/>
    <w:rsid w:val="00FF0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F075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F075E"/>
    <w:rPr>
      <w:sz w:val="20"/>
    </w:rPr>
  </w:style>
  <w:style w:type="paragraph" w:styleId="Sidefod">
    <w:name w:val="footer"/>
    <w:basedOn w:val="Normal"/>
    <w:link w:val="SidefodTegn"/>
    <w:uiPriority w:val="99"/>
    <w:unhideWhenUsed/>
    <w:rsid w:val="00FF07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F075E"/>
    <w:rPr>
      <w:sz w:val="20"/>
    </w:rPr>
  </w:style>
  <w:style w:type="paragraph" w:styleId="Listeafsnit">
    <w:name w:val="List Paragraph"/>
    <w:basedOn w:val="Normal"/>
    <w:uiPriority w:val="34"/>
    <w:qFormat/>
    <w:rsid w:val="00FF075E"/>
    <w:pPr>
      <w:overflowPunct w:val="0"/>
      <w:autoSpaceDE w:val="0"/>
      <w:autoSpaceDN w:val="0"/>
      <w:adjustRightInd w:val="0"/>
      <w:spacing w:after="0" w:line="300" w:lineRule="exact"/>
      <w:ind w:left="720"/>
      <w:contextualSpacing/>
      <w:jc w:val="both"/>
    </w:pPr>
    <w:rPr>
      <w:rFonts w:ascii="Times New Roman" w:eastAsia="Times New Roman" w:hAnsi="Times New Roman" w:cs="Times New Roman"/>
      <w:bCs/>
      <w:sz w:val="23"/>
      <w:szCs w:val="20"/>
      <w:lang w:eastAsia="da-DK"/>
    </w:rPr>
  </w:style>
  <w:style w:type="character" w:styleId="Kommentarhenvisning">
    <w:name w:val="annotation reference"/>
    <w:basedOn w:val="Standardskrifttypeiafsnit"/>
    <w:uiPriority w:val="99"/>
    <w:semiHidden/>
    <w:unhideWhenUsed/>
    <w:rsid w:val="00FF075E"/>
    <w:rPr>
      <w:sz w:val="16"/>
      <w:szCs w:val="16"/>
    </w:rPr>
  </w:style>
  <w:style w:type="paragraph" w:styleId="Kommentartekst">
    <w:name w:val="annotation text"/>
    <w:basedOn w:val="Normal"/>
    <w:link w:val="KommentartekstTegn"/>
    <w:uiPriority w:val="99"/>
    <w:unhideWhenUsed/>
    <w:rsid w:val="00FF075E"/>
    <w:pPr>
      <w:spacing w:line="240" w:lineRule="auto"/>
    </w:pPr>
    <w:rPr>
      <w:szCs w:val="20"/>
    </w:rPr>
  </w:style>
  <w:style w:type="character" w:customStyle="1" w:styleId="KommentartekstTegn">
    <w:name w:val="Kommentartekst Tegn"/>
    <w:basedOn w:val="Standardskrifttypeiafsnit"/>
    <w:link w:val="Kommentartekst"/>
    <w:uiPriority w:val="99"/>
    <w:rsid w:val="00FF075E"/>
    <w:rPr>
      <w:sz w:val="20"/>
      <w:szCs w:val="20"/>
    </w:rPr>
  </w:style>
  <w:style w:type="character" w:styleId="Pladsholdertekst">
    <w:name w:val="Placeholder Text"/>
    <w:basedOn w:val="Standardskrifttypeiafsnit"/>
    <w:uiPriority w:val="99"/>
    <w:semiHidden/>
    <w:rsid w:val="00FF075E"/>
    <w:rPr>
      <w:color w:val="808080"/>
    </w:rPr>
  </w:style>
  <w:style w:type="paragraph" w:styleId="Markeringsbobletekst">
    <w:name w:val="Balloon Text"/>
    <w:basedOn w:val="Normal"/>
    <w:link w:val="MarkeringsbobletekstTegn"/>
    <w:uiPriority w:val="99"/>
    <w:semiHidden/>
    <w:unhideWhenUsed/>
    <w:rsid w:val="00FF075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F075E"/>
    <w:rPr>
      <w:rFonts w:ascii="Segoe UI" w:hAnsi="Segoe UI" w:cs="Segoe UI"/>
      <w:sz w:val="18"/>
      <w:szCs w:val="18"/>
    </w:rPr>
  </w:style>
  <w:style w:type="paragraph" w:styleId="Titel">
    <w:name w:val="Title"/>
    <w:basedOn w:val="Normal"/>
    <w:next w:val="Normal"/>
    <w:link w:val="TitelTegn"/>
    <w:uiPriority w:val="10"/>
    <w:qFormat/>
    <w:rsid w:val="009056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563C"/>
    <w:rPr>
      <w:rFonts w:asciiTheme="majorHAnsi" w:eastAsiaTheme="majorEastAsia" w:hAnsiTheme="majorHAnsi" w:cstheme="majorBidi"/>
      <w:spacing w:val="-10"/>
      <w:kern w:val="28"/>
      <w:sz w:val="56"/>
      <w:szCs w:val="56"/>
    </w:rPr>
  </w:style>
  <w:style w:type="paragraph" w:styleId="Fodnotetekst">
    <w:name w:val="footnote text"/>
    <w:basedOn w:val="Normal"/>
    <w:link w:val="FodnotetekstTegn"/>
    <w:semiHidden/>
    <w:unhideWhenUsed/>
    <w:rsid w:val="0090563C"/>
    <w:pPr>
      <w:spacing w:after="0" w:line="240" w:lineRule="auto"/>
      <w:jc w:val="both"/>
    </w:pPr>
    <w:rPr>
      <w:rFonts w:ascii="Times New Roman" w:eastAsia="Times New Roman" w:hAnsi="Times New Roman" w:cs="Times New Roman"/>
      <w:sz w:val="17"/>
      <w:szCs w:val="23"/>
      <w:lang w:eastAsia="da-DK"/>
    </w:rPr>
  </w:style>
  <w:style w:type="character" w:customStyle="1" w:styleId="FodnotetekstTegn">
    <w:name w:val="Fodnotetekst Tegn"/>
    <w:basedOn w:val="Standardskrifttypeiafsnit"/>
    <w:link w:val="Fodnotetekst"/>
    <w:semiHidden/>
    <w:rsid w:val="0090563C"/>
    <w:rPr>
      <w:rFonts w:ascii="Times New Roman" w:eastAsia="Times New Roman" w:hAnsi="Times New Roman" w:cs="Times New Roman"/>
      <w:sz w:val="17"/>
      <w:szCs w:val="23"/>
      <w:lang w:eastAsia="da-DK"/>
    </w:rPr>
  </w:style>
  <w:style w:type="character" w:styleId="Fodnotehenvisning">
    <w:name w:val="footnote reference"/>
    <w:basedOn w:val="Standardskrifttypeiafsnit"/>
    <w:semiHidden/>
    <w:unhideWhenUsed/>
    <w:rsid w:val="0090563C"/>
    <w:rPr>
      <w:sz w:val="17"/>
      <w:vertAlign w:val="superscript"/>
    </w:rPr>
  </w:style>
  <w:style w:type="paragraph" w:customStyle="1" w:styleId="liste1">
    <w:name w:val="liste1"/>
    <w:basedOn w:val="Normal"/>
    <w:rsid w:val="0090563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90563C"/>
  </w:style>
  <w:style w:type="paragraph" w:styleId="Kommentaremne">
    <w:name w:val="annotation subject"/>
    <w:basedOn w:val="Kommentartekst"/>
    <w:next w:val="Kommentartekst"/>
    <w:link w:val="KommentaremneTegn"/>
    <w:uiPriority w:val="99"/>
    <w:semiHidden/>
    <w:unhideWhenUsed/>
    <w:rsid w:val="0090563C"/>
    <w:rPr>
      <w:b/>
      <w:bCs/>
    </w:rPr>
  </w:style>
  <w:style w:type="character" w:customStyle="1" w:styleId="KommentaremneTegn">
    <w:name w:val="Kommentaremne Tegn"/>
    <w:basedOn w:val="KommentartekstTegn"/>
    <w:link w:val="Kommentaremne"/>
    <w:uiPriority w:val="99"/>
    <w:semiHidden/>
    <w:rsid w:val="0090563C"/>
    <w:rPr>
      <w:b/>
      <w:bCs/>
      <w:sz w:val="20"/>
      <w:szCs w:val="20"/>
    </w:rPr>
  </w:style>
  <w:style w:type="paragraph" w:customStyle="1" w:styleId="Default">
    <w:name w:val="Default"/>
    <w:rsid w:val="009056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lstomtale1">
    <w:name w:val="Uløst omtale1"/>
    <w:basedOn w:val="Standardskrifttypeiafsnit"/>
    <w:uiPriority w:val="99"/>
    <w:semiHidden/>
    <w:unhideWhenUsed/>
    <w:rsid w:val="0090563C"/>
    <w:rPr>
      <w:color w:val="605E5C"/>
      <w:shd w:val="clear" w:color="auto" w:fill="E1DFDD"/>
    </w:rPr>
  </w:style>
  <w:style w:type="paragraph" w:styleId="Korrektur">
    <w:name w:val="Revision"/>
    <w:hidden/>
    <w:uiPriority w:val="99"/>
    <w:semiHidden/>
    <w:rsid w:val="0090563C"/>
    <w:pPr>
      <w:spacing w:after="0" w:line="240" w:lineRule="auto"/>
    </w:pPr>
    <w:rPr>
      <w:sz w:val="20"/>
    </w:rPr>
  </w:style>
  <w:style w:type="character" w:styleId="BesgtLink">
    <w:name w:val="FollowedHyperlink"/>
    <w:basedOn w:val="Standardskrifttypeiafsnit"/>
    <w:uiPriority w:val="99"/>
    <w:semiHidden/>
    <w:unhideWhenUsed/>
    <w:rsid w:val="0090563C"/>
    <w:rPr>
      <w:color w:val="954F72" w:themeColor="followedHyperlink"/>
      <w:u w:val="single"/>
    </w:rPr>
  </w:style>
  <w:style w:type="character" w:styleId="Ulstomtale">
    <w:name w:val="Unresolved Mention"/>
    <w:basedOn w:val="Standardskrifttypeiafsnit"/>
    <w:uiPriority w:val="99"/>
    <w:semiHidden/>
    <w:unhideWhenUsed/>
    <w:rsid w:val="0074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193">
      <w:bodyDiv w:val="1"/>
      <w:marLeft w:val="0"/>
      <w:marRight w:val="0"/>
      <w:marTop w:val="0"/>
      <w:marBottom w:val="0"/>
      <w:divBdr>
        <w:top w:val="none" w:sz="0" w:space="0" w:color="auto"/>
        <w:left w:val="none" w:sz="0" w:space="0" w:color="auto"/>
        <w:bottom w:val="none" w:sz="0" w:space="0" w:color="auto"/>
        <w:right w:val="none" w:sz="0" w:space="0" w:color="auto"/>
      </w:divBdr>
    </w:div>
    <w:div w:id="198129576">
      <w:bodyDiv w:val="1"/>
      <w:marLeft w:val="0"/>
      <w:marRight w:val="0"/>
      <w:marTop w:val="0"/>
      <w:marBottom w:val="0"/>
      <w:divBdr>
        <w:top w:val="none" w:sz="0" w:space="0" w:color="auto"/>
        <w:left w:val="none" w:sz="0" w:space="0" w:color="auto"/>
        <w:bottom w:val="none" w:sz="0" w:space="0" w:color="auto"/>
        <w:right w:val="none" w:sz="0" w:space="0" w:color="auto"/>
      </w:divBdr>
    </w:div>
    <w:div w:id="226765242">
      <w:bodyDiv w:val="1"/>
      <w:marLeft w:val="0"/>
      <w:marRight w:val="0"/>
      <w:marTop w:val="0"/>
      <w:marBottom w:val="0"/>
      <w:divBdr>
        <w:top w:val="none" w:sz="0" w:space="0" w:color="auto"/>
        <w:left w:val="none" w:sz="0" w:space="0" w:color="auto"/>
        <w:bottom w:val="none" w:sz="0" w:space="0" w:color="auto"/>
        <w:right w:val="none" w:sz="0" w:space="0" w:color="auto"/>
      </w:divBdr>
    </w:div>
    <w:div w:id="554589332">
      <w:bodyDiv w:val="1"/>
      <w:marLeft w:val="0"/>
      <w:marRight w:val="0"/>
      <w:marTop w:val="0"/>
      <w:marBottom w:val="0"/>
      <w:divBdr>
        <w:top w:val="none" w:sz="0" w:space="0" w:color="auto"/>
        <w:left w:val="none" w:sz="0" w:space="0" w:color="auto"/>
        <w:bottom w:val="none" w:sz="0" w:space="0" w:color="auto"/>
        <w:right w:val="none" w:sz="0" w:space="0" w:color="auto"/>
      </w:divBdr>
    </w:div>
    <w:div w:id="970286402">
      <w:bodyDiv w:val="1"/>
      <w:marLeft w:val="0"/>
      <w:marRight w:val="0"/>
      <w:marTop w:val="0"/>
      <w:marBottom w:val="0"/>
      <w:divBdr>
        <w:top w:val="none" w:sz="0" w:space="0" w:color="auto"/>
        <w:left w:val="none" w:sz="0" w:space="0" w:color="auto"/>
        <w:bottom w:val="none" w:sz="0" w:space="0" w:color="auto"/>
        <w:right w:val="none" w:sz="0" w:space="0" w:color="auto"/>
      </w:divBdr>
    </w:div>
    <w:div w:id="1657538914">
      <w:bodyDiv w:val="1"/>
      <w:marLeft w:val="0"/>
      <w:marRight w:val="0"/>
      <w:marTop w:val="0"/>
      <w:marBottom w:val="0"/>
      <w:divBdr>
        <w:top w:val="none" w:sz="0" w:space="0" w:color="auto"/>
        <w:left w:val="none" w:sz="0" w:space="0" w:color="auto"/>
        <w:bottom w:val="none" w:sz="0" w:space="0" w:color="auto"/>
        <w:right w:val="none" w:sz="0" w:space="0" w:color="auto"/>
      </w:divBdr>
    </w:div>
    <w:div w:id="2080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ki.dk/videnssider/ateas-redegorelse-for-selfcleanin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8e1ec91-248a-46a9-aefd-1611d14d7684">
      <UserInfo>
        <DisplayName>Anders Stribolt</DisplayName>
        <AccountId>41</AccountId>
        <AccountType/>
      </UserInfo>
      <UserInfo>
        <DisplayName>Peter Moesgaard Kring</DisplayName>
        <AccountId>142</AccountId>
        <AccountType/>
      </UserInfo>
      <UserInfo>
        <DisplayName>Rasmus Lund Kongsgaard</DisplayName>
        <AccountId>85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83B21-2E71-41D6-971D-8E1B9F951CE9}">
  <ds:schemaRefs>
    <ds:schemaRef ds:uri="http://schemas.microsoft.com/sharepoint/v3/contenttype/forms"/>
  </ds:schemaRefs>
</ds:datastoreItem>
</file>

<file path=customXml/itemProps2.xml><?xml version="1.0" encoding="utf-8"?>
<ds:datastoreItem xmlns:ds="http://schemas.openxmlformats.org/officeDocument/2006/customXml" ds:itemID="{AB0F0375-78D5-49A1-BD1B-4F4A94BE09A9}">
  <ds:schemaRefs>
    <ds:schemaRef ds:uri="http://schemas.openxmlformats.org/officeDocument/2006/bibliography"/>
  </ds:schemaRefs>
</ds:datastoreItem>
</file>

<file path=customXml/itemProps3.xml><?xml version="1.0" encoding="utf-8"?>
<ds:datastoreItem xmlns:ds="http://schemas.openxmlformats.org/officeDocument/2006/customXml" ds:itemID="{EC0A05C6-B9CF-4241-B1B5-CE3A567E68B8}">
  <ds:schemaRefs>
    <ds:schemaRef ds:uri="http://www.w3.org/XML/1998/namespace"/>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schemas.microsoft.com/office/infopath/2007/PartnerControls"/>
    <ds:schemaRef ds:uri="http://purl.org/dc/elements/1.1/"/>
    <ds:schemaRef ds:uri="dd03fdf3-75da-4020-8d60-8674b71c1032"/>
    <ds:schemaRef ds:uri="9b2fe549-ca53-4185-ae7e-41cef578716c"/>
    <ds:schemaRef ds:uri="http://purl.org/dc/dcmitype/"/>
    <ds:schemaRef ds:uri="http://purl.org/dc/terms/"/>
  </ds:schemaRefs>
</ds:datastoreItem>
</file>

<file path=customXml/itemProps4.xml><?xml version="1.0" encoding="utf-8"?>
<ds:datastoreItem xmlns:ds="http://schemas.openxmlformats.org/officeDocument/2006/customXml" ds:itemID="{21E19E8F-EE90-4CCE-AB00-95A3572A9F36}"/>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7637</Characters>
  <Application>Microsoft Office Word</Application>
  <DocSecurity>4</DocSecurity>
  <Lines>63</Lines>
  <Paragraphs>17</Paragraphs>
  <ScaleCrop>false</ScaleCrop>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2021-06-28T20:45:00Z</dcterms:created>
  <dcterms:modified xsi:type="dcterms:W3CDTF">2021-06-28T20:45:00Z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y fmtid="{D5CDD505-2E9C-101B-9397-08002B2CF9AE}" pid="3" name="Order">
    <vt:r8>563800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